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spacing w:line="360" w:lineRule="auto"/>
        <w:jc w:val="both"/>
        <w:rPr>
          <w:b/>
          <w:sz w:val="20"/>
        </w:rPr>
      </w:pPr>
      <w:r>
        <w:rPr>
          <w:b/>
          <w:sz w:val="20"/>
        </w:rPr>
        <w:t>Anlage 2</w:t>
      </w:r>
    </w:p>
    <w:p>
      <w:pPr>
        <w:pStyle w:val="Titel"/>
        <w:spacing w:line="360" w:lineRule="auto"/>
        <w:jc w:val="both"/>
        <w:rPr>
          <w:b/>
          <w:sz w:val="20"/>
        </w:rPr>
      </w:pPr>
    </w:p>
    <w:p>
      <w:pPr>
        <w:pStyle w:val="Titel"/>
        <w:spacing w:line="360" w:lineRule="auto"/>
        <w:jc w:val="both"/>
        <w:rPr>
          <w:b/>
          <w:sz w:val="20"/>
        </w:rPr>
      </w:pPr>
      <w:r>
        <w:rPr>
          <w:b/>
          <w:sz w:val="20"/>
        </w:rPr>
        <w:t>Stadt Mülheim an der Ruhr</w:t>
      </w:r>
    </w:p>
    <w:p>
      <w:pPr>
        <w:pStyle w:val="Titel"/>
        <w:spacing w:line="360" w:lineRule="auto"/>
        <w:jc w:val="both"/>
        <w:rPr>
          <w:b/>
          <w:sz w:val="20"/>
        </w:rPr>
      </w:pPr>
      <w:r>
        <w:rPr>
          <w:b/>
          <w:sz w:val="20"/>
        </w:rPr>
        <w:t>Der Oberbürgermeister</w:t>
      </w:r>
    </w:p>
    <w:p>
      <w:pPr>
        <w:pStyle w:val="Titel"/>
        <w:spacing w:line="360" w:lineRule="auto"/>
        <w:jc w:val="both"/>
        <w:rPr>
          <w:b/>
          <w:sz w:val="20"/>
        </w:rPr>
      </w:pPr>
    </w:p>
    <w:p>
      <w:pPr>
        <w:pStyle w:val="berschrift1"/>
        <w:spacing w:line="360" w:lineRule="auto"/>
        <w:jc w:val="both"/>
        <w:rPr>
          <w:b/>
          <w:sz w:val="20"/>
          <w:u w:val="none"/>
        </w:rPr>
      </w:pPr>
      <w:r>
        <w:rPr>
          <w:b/>
          <w:sz w:val="20"/>
          <w:u w:val="none"/>
        </w:rPr>
        <w:t xml:space="preserve">Besondere Bedingungen </w:t>
      </w:r>
    </w:p>
    <w:p>
      <w:pPr>
        <w:spacing w:line="360" w:lineRule="auto"/>
        <w:jc w:val="both"/>
        <w:rPr>
          <w:rFonts w:ascii="Verdana" w:hAnsi="Verdana"/>
        </w:rPr>
      </w:pPr>
    </w:p>
    <w:p>
      <w:pPr>
        <w:spacing w:line="360" w:lineRule="auto"/>
        <w:jc w:val="both"/>
        <w:rPr>
          <w:rFonts w:ascii="Verdana" w:hAnsi="Verdana"/>
        </w:rPr>
      </w:pPr>
      <w:r>
        <w:rPr>
          <w:rFonts w:ascii="Verdana" w:hAnsi="Verdana"/>
        </w:rPr>
        <w:t xml:space="preserve">1. </w:t>
      </w:r>
      <w:r>
        <w:rPr>
          <w:rFonts w:ascii="Verdana" w:hAnsi="Verdana"/>
        </w:rPr>
        <w:tab/>
      </w:r>
      <w:r>
        <w:rPr>
          <w:rFonts w:ascii="Verdana" w:hAnsi="Verdana"/>
          <w:u w:val="single"/>
        </w:rPr>
        <w:t>Unteraufträge</w:t>
      </w:r>
    </w:p>
    <w:p>
      <w:pPr>
        <w:spacing w:line="360" w:lineRule="auto"/>
        <w:ind w:left="705"/>
        <w:rPr>
          <w:rFonts w:ascii="Verdana" w:hAnsi="Verdana"/>
        </w:rPr>
      </w:pPr>
      <w:r>
        <w:rPr>
          <w:rFonts w:ascii="Verdana" w:hAnsi="Verdana"/>
        </w:rPr>
        <w:t xml:space="preserve">Die Übertragung eines Auftrages an einen anderen Lieferanten </w:t>
      </w:r>
      <w:r>
        <w:rPr>
          <w:rFonts w:ascii="Verdana" w:hAnsi="Verdana"/>
        </w:rPr>
        <w:tab/>
        <w:t>(Unterauftrag) ist zulässig.</w:t>
      </w:r>
    </w:p>
    <w:p>
      <w:pPr>
        <w:spacing w:line="360" w:lineRule="auto"/>
        <w:jc w:val="both"/>
        <w:rPr>
          <w:rFonts w:ascii="Verdana" w:hAnsi="Verdana"/>
        </w:rPr>
      </w:pPr>
    </w:p>
    <w:p>
      <w:pPr>
        <w:spacing w:line="360" w:lineRule="auto"/>
        <w:jc w:val="both"/>
        <w:rPr>
          <w:rFonts w:ascii="Verdana" w:hAnsi="Verdana"/>
        </w:rPr>
      </w:pPr>
      <w:r>
        <w:rPr>
          <w:rFonts w:ascii="Verdana" w:hAnsi="Verdana"/>
        </w:rPr>
        <w:t xml:space="preserve">2. </w:t>
      </w:r>
      <w:r>
        <w:rPr>
          <w:rFonts w:ascii="Verdana" w:hAnsi="Verdana"/>
        </w:rPr>
        <w:tab/>
      </w:r>
      <w:r>
        <w:rPr>
          <w:rFonts w:ascii="Verdana" w:hAnsi="Verdana"/>
          <w:u w:val="single"/>
        </w:rPr>
        <w:t>Preisgültigkeit / Preisgleitklausel</w:t>
      </w:r>
    </w:p>
    <w:p>
      <w:pPr>
        <w:pStyle w:val="KeinLeerraum"/>
        <w:spacing w:line="360" w:lineRule="auto"/>
        <w:ind w:left="705" w:hanging="705"/>
        <w:jc w:val="both"/>
        <w:rPr>
          <w:rFonts w:ascii="Verdana" w:hAnsi="Verdana"/>
          <w:sz w:val="20"/>
          <w:szCs w:val="20"/>
        </w:rPr>
      </w:pPr>
      <w:r>
        <w:rPr>
          <w:rFonts w:ascii="Verdana" w:hAnsi="Verdana"/>
          <w:sz w:val="20"/>
          <w:szCs w:val="20"/>
        </w:rPr>
        <w:t>2.1</w:t>
      </w:r>
      <w:r>
        <w:rPr>
          <w:rFonts w:ascii="Verdana" w:hAnsi="Verdana"/>
          <w:sz w:val="20"/>
          <w:szCs w:val="20"/>
        </w:rPr>
        <w:tab/>
        <w:t xml:space="preserve">Die Preisgültigkeit gilt jeweils für den lfd. Monat. </w:t>
      </w:r>
    </w:p>
    <w:p>
      <w:pPr>
        <w:pStyle w:val="KeinLeerraum"/>
        <w:spacing w:line="360" w:lineRule="auto"/>
        <w:ind w:left="705" w:hanging="705"/>
        <w:jc w:val="both"/>
        <w:rPr>
          <w:rFonts w:ascii="Verdana" w:hAnsi="Verdana"/>
          <w:sz w:val="20"/>
          <w:szCs w:val="20"/>
        </w:rPr>
      </w:pPr>
      <w:r>
        <w:rPr>
          <w:rFonts w:ascii="Verdana" w:hAnsi="Verdana"/>
          <w:sz w:val="20"/>
          <w:szCs w:val="20"/>
        </w:rPr>
        <w:t>2.2</w:t>
      </w:r>
      <w:r>
        <w:rPr>
          <w:rFonts w:ascii="Verdana" w:hAnsi="Verdana"/>
          <w:sz w:val="20"/>
          <w:szCs w:val="20"/>
        </w:rPr>
        <w:tab/>
        <w:t>Eintretende Preisreduzierungen und -erhöhungen sind von beiden Parteien für den Folgemonat in Textform spätestens 10 Kalendertage vor Ablauf eines Monats anzuzeigen und nachzuweisen. Preiserhöhung gelten nur, falls der Auftraggeber innerhalb der vorgenannten Frist in Textform zustimmt. Die Preisanpassung wird jeweils an dem Monatsersten des Folgemonats wirksam.</w:t>
      </w:r>
    </w:p>
    <w:p>
      <w:pPr>
        <w:pStyle w:val="KeinLeerraum"/>
        <w:spacing w:line="360" w:lineRule="auto"/>
        <w:ind w:left="705" w:hanging="705"/>
        <w:jc w:val="both"/>
        <w:rPr>
          <w:rFonts w:ascii="Verdana" w:hAnsi="Verdana"/>
          <w:sz w:val="20"/>
          <w:szCs w:val="20"/>
        </w:rPr>
      </w:pPr>
      <w:r>
        <w:rPr>
          <w:rFonts w:ascii="Verdana" w:hAnsi="Verdana"/>
          <w:sz w:val="20"/>
          <w:szCs w:val="20"/>
        </w:rPr>
        <w:t xml:space="preserve">2.3 </w:t>
      </w:r>
      <w:r>
        <w:rPr>
          <w:rFonts w:ascii="Verdana" w:hAnsi="Verdana"/>
          <w:sz w:val="20"/>
          <w:szCs w:val="20"/>
        </w:rPr>
        <w:tab/>
        <w:t>Dem Auftraggeber steht das Recht zu, bei jeder Preiserhöhung vom Vertrag zurückzutreten. In diesem Fall entstehen keiner der Parteien Ansprüche gegen die jeweils andere Partei, insbesondere keine Liefer- oder Zahlungsansprüche.</w:t>
      </w:r>
    </w:p>
    <w:p>
      <w:pPr>
        <w:spacing w:line="360" w:lineRule="auto"/>
        <w:ind w:left="705" w:hanging="705"/>
        <w:jc w:val="both"/>
        <w:rPr>
          <w:rFonts w:ascii="Verdana" w:hAnsi="Verdana"/>
        </w:rPr>
      </w:pPr>
    </w:p>
    <w:p>
      <w:pPr>
        <w:spacing w:line="360" w:lineRule="auto"/>
        <w:jc w:val="both"/>
        <w:rPr>
          <w:rFonts w:ascii="Verdana" w:hAnsi="Verdana"/>
          <w:u w:val="single"/>
        </w:rPr>
      </w:pPr>
      <w:r>
        <w:rPr>
          <w:rFonts w:ascii="Verdana" w:hAnsi="Verdana"/>
        </w:rPr>
        <w:t>3.</w:t>
      </w:r>
      <w:r>
        <w:rPr>
          <w:rFonts w:ascii="Verdana" w:hAnsi="Verdana"/>
        </w:rPr>
        <w:tab/>
      </w:r>
      <w:r>
        <w:rPr>
          <w:rFonts w:ascii="Verdana" w:hAnsi="Verdana"/>
          <w:u w:val="single"/>
        </w:rPr>
        <w:t>Lieferungsbedingungen</w:t>
      </w:r>
    </w:p>
    <w:p>
      <w:pPr>
        <w:numPr>
          <w:ilvl w:val="1"/>
          <w:numId w:val="3"/>
        </w:numPr>
        <w:spacing w:line="360" w:lineRule="auto"/>
        <w:rPr>
          <w:rFonts w:ascii="Verdana" w:hAnsi="Verdana"/>
        </w:rPr>
      </w:pPr>
      <w:r>
        <w:rPr>
          <w:rFonts w:ascii="Verdana" w:hAnsi="Verdana"/>
        </w:rPr>
        <w:t>Jede Lieferung hat bei barrierefreiem Zugang „frei Verwendungsstelle“ und ohne Nebenkosten zu erfolgen. Aufwandspauschalen für die logistische Auftragsabwicklung werden nicht akzeptiert.</w:t>
      </w:r>
    </w:p>
    <w:p>
      <w:pPr>
        <w:numPr>
          <w:ilvl w:val="1"/>
          <w:numId w:val="3"/>
        </w:numPr>
        <w:spacing w:line="360" w:lineRule="auto"/>
        <w:jc w:val="both"/>
        <w:rPr>
          <w:rFonts w:ascii="Verdana" w:hAnsi="Verdana"/>
        </w:rPr>
      </w:pPr>
      <w:r>
        <w:rPr>
          <w:rFonts w:ascii="Verdana" w:hAnsi="Verdana"/>
        </w:rPr>
        <w:t>Die benötigten Artikel werden telefonisch oder per Mail bestellt.</w:t>
      </w:r>
    </w:p>
    <w:p>
      <w:pPr>
        <w:numPr>
          <w:ilvl w:val="1"/>
          <w:numId w:val="1"/>
        </w:numPr>
        <w:spacing w:line="360" w:lineRule="auto"/>
        <w:rPr>
          <w:rFonts w:ascii="Verdana" w:hAnsi="Verdana"/>
        </w:rPr>
      </w:pPr>
      <w:r>
        <w:rPr>
          <w:rFonts w:ascii="Verdana" w:hAnsi="Verdana"/>
        </w:rPr>
        <w:t>Die Auslieferung hat spätestens innerhalb von</w:t>
      </w:r>
      <w:r>
        <w:rPr>
          <w:rFonts w:ascii="Verdana" w:hAnsi="Verdana"/>
          <w:b/>
          <w:u w:val="single"/>
        </w:rPr>
        <w:t xml:space="preserve"> 14 Kalendertagen ab Abrufbestellung gerechnet,</w:t>
      </w:r>
      <w:r>
        <w:rPr>
          <w:rFonts w:ascii="Verdana" w:hAnsi="Verdana"/>
        </w:rPr>
        <w:t xml:space="preserve"> an einen Schul-bzw. Verwaltungsstandort zu erfolgen.</w:t>
      </w:r>
    </w:p>
    <w:p>
      <w:pPr>
        <w:numPr>
          <w:ilvl w:val="1"/>
          <w:numId w:val="1"/>
        </w:numPr>
        <w:spacing w:line="360" w:lineRule="auto"/>
        <w:jc w:val="both"/>
        <w:rPr>
          <w:rFonts w:ascii="Verdana" w:hAnsi="Verdana"/>
        </w:rPr>
      </w:pPr>
      <w:r>
        <w:rPr>
          <w:rFonts w:ascii="Verdana" w:hAnsi="Verdana"/>
        </w:rPr>
        <w:t>Anlieferungen haben grundsätzlich mit Bühnenwagen zu erfolgen, weil an keinem Abrufstandort eine Rampe vorhanden ist.</w:t>
      </w:r>
    </w:p>
    <w:p>
      <w:pPr>
        <w:spacing w:line="360" w:lineRule="auto"/>
        <w:jc w:val="both"/>
        <w:rPr>
          <w:rFonts w:ascii="Verdana" w:hAnsi="Verdana"/>
        </w:rPr>
      </w:pPr>
    </w:p>
    <w:p>
      <w:pPr>
        <w:spacing w:line="360" w:lineRule="auto"/>
        <w:jc w:val="both"/>
        <w:rPr>
          <w:rFonts w:ascii="Verdana" w:hAnsi="Verdana"/>
          <w:u w:val="single"/>
        </w:rPr>
      </w:pPr>
      <w:r>
        <w:rPr>
          <w:rFonts w:ascii="Verdana" w:hAnsi="Verdana"/>
        </w:rPr>
        <w:t>4.</w:t>
      </w:r>
      <w:r>
        <w:rPr>
          <w:rFonts w:ascii="Verdana" w:hAnsi="Verdana"/>
        </w:rPr>
        <w:tab/>
      </w:r>
      <w:r>
        <w:rPr>
          <w:rFonts w:ascii="Verdana" w:hAnsi="Verdana"/>
          <w:u w:val="single"/>
        </w:rPr>
        <w:t>Abrechnung</w:t>
      </w:r>
    </w:p>
    <w:p>
      <w:pPr>
        <w:spacing w:line="360" w:lineRule="auto"/>
        <w:ind w:left="705" w:hanging="705"/>
        <w:rPr>
          <w:rFonts w:ascii="Verdana" w:hAnsi="Verdana"/>
        </w:rPr>
      </w:pPr>
      <w:r>
        <w:rPr>
          <w:rFonts w:ascii="Verdana" w:hAnsi="Verdana"/>
        </w:rPr>
        <w:t>4.1</w:t>
      </w:r>
      <w:r>
        <w:rPr>
          <w:rFonts w:ascii="Verdana" w:hAnsi="Verdana"/>
        </w:rPr>
        <w:tab/>
        <w:t>Jede Bestellung ist einzeln abzurechnen, wobei ein vom Empfänger unterschriebener Lieferschein beizufügen ist.</w:t>
      </w:r>
    </w:p>
    <w:p>
      <w:pPr>
        <w:spacing w:line="360" w:lineRule="auto"/>
        <w:rPr>
          <w:rFonts w:ascii="Verdana" w:hAnsi="Verdana"/>
        </w:rPr>
      </w:pPr>
      <w:r>
        <w:rPr>
          <w:rFonts w:ascii="Verdana" w:hAnsi="Verdana"/>
        </w:rPr>
        <w:t>4.2</w:t>
      </w:r>
      <w:r>
        <w:rPr>
          <w:rFonts w:ascii="Verdana" w:hAnsi="Verdana"/>
        </w:rPr>
        <w:tab/>
        <w:t xml:space="preserve">Die Artikel sind mit Einzel- und Gesamtpreis unter Angabe der jeweils </w:t>
      </w:r>
      <w:r>
        <w:rPr>
          <w:rFonts w:ascii="Verdana" w:hAnsi="Verdana"/>
        </w:rPr>
        <w:tab/>
        <w:t>gültigen Mehrwertsteuer aufzuführen.</w:t>
      </w: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360" w:lineRule="auto"/>
      <w:rPr>
        <w:rFonts w:ascii="Verdana" w:hAnsi="Verdana"/>
        <w:b/>
      </w:rPr>
    </w:pPr>
    <w:r>
      <w:rPr>
        <w:rFonts w:ascii="Verdana" w:hAnsi="Verdana"/>
        <w:b/>
      </w:rPr>
      <w:t>Öffentliche Ausschreibung über die Lieferung von Kopierpapier</w:t>
    </w:r>
  </w:p>
  <w:p>
    <w:pPr>
      <w:spacing w:line="360" w:lineRule="auto"/>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0"/>
    <w:multiLevelType w:val="multilevel"/>
    <w:tmpl w:val="1BD048A0"/>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15:restartNumberingAfterBreak="0">
    <w:nsid w:val="0B98083E"/>
    <w:multiLevelType w:val="hybridMultilevel"/>
    <w:tmpl w:val="C94AA408"/>
    <w:lvl w:ilvl="0" w:tplc="24960856">
      <w:start w:val="1"/>
      <w:numFmt w:val="decimal"/>
      <w:lvlText w:val="%1.1"/>
      <w:lvlJc w:val="left"/>
      <w:pPr>
        <w:ind w:left="1068"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1466E9C"/>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13E60633"/>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15D370DE"/>
    <w:multiLevelType w:val="multilevel"/>
    <w:tmpl w:val="805256F8"/>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189471E"/>
    <w:multiLevelType w:val="singleLevel"/>
    <w:tmpl w:val="13F62558"/>
    <w:lvl w:ilvl="0">
      <w:start w:val="5"/>
      <w:numFmt w:val="decimal"/>
      <w:lvlText w:val="%1."/>
      <w:lvlJc w:val="left"/>
      <w:pPr>
        <w:tabs>
          <w:tab w:val="num" w:pos="705"/>
        </w:tabs>
        <w:ind w:left="705" w:hanging="705"/>
      </w:pPr>
      <w:rPr>
        <w:rFonts w:hint="default"/>
      </w:rPr>
    </w:lvl>
  </w:abstractNum>
  <w:abstractNum w:abstractNumId="6" w15:restartNumberingAfterBreak="0">
    <w:nsid w:val="32E54825"/>
    <w:multiLevelType w:val="multilevel"/>
    <w:tmpl w:val="CBF0499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BB35B5"/>
    <w:multiLevelType w:val="multilevel"/>
    <w:tmpl w:val="59B4E97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92A08F5"/>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495A5886"/>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4E0B4B20"/>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5400394A"/>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65680E88"/>
    <w:multiLevelType w:val="multilevel"/>
    <w:tmpl w:val="A66E7DC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62965FB"/>
    <w:multiLevelType w:val="multilevel"/>
    <w:tmpl w:val="59B4E97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B8E3CCA"/>
    <w:multiLevelType w:val="multilevel"/>
    <w:tmpl w:val="279616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0"/>
  </w:num>
  <w:num w:numId="2">
    <w:abstractNumId w:val="4"/>
  </w:num>
  <w:num w:numId="3">
    <w:abstractNumId w:val="12"/>
  </w:num>
  <w:num w:numId="4">
    <w:abstractNumId w:val="5"/>
  </w:num>
  <w:num w:numId="5">
    <w:abstractNumId w:val="8"/>
  </w:num>
  <w:num w:numId="6">
    <w:abstractNumId w:val="9"/>
  </w:num>
  <w:num w:numId="7">
    <w:abstractNumId w:val="10"/>
  </w:num>
  <w:num w:numId="8">
    <w:abstractNumId w:val="11"/>
  </w:num>
  <w:num w:numId="9">
    <w:abstractNumId w:val="2"/>
  </w:num>
  <w:num w:numId="10">
    <w:abstractNumId w:val="6"/>
  </w:num>
  <w:num w:numId="11">
    <w:abstractNumId w:val="3"/>
  </w:num>
  <w:num w:numId="12">
    <w:abstractNumId w:val="14"/>
  </w:num>
  <w:num w:numId="13">
    <w:abstractNumId w:val="1"/>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5:docId w15:val="{B61476F5-416A-4F75-9D0A-735F3B98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jc w:val="center"/>
      <w:outlineLvl w:val="0"/>
    </w:pPr>
    <w:rPr>
      <w:rFonts w:ascii="Verdana" w:hAnsi="Verdana"/>
      <w:sz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Verdana" w:hAnsi="Verdana"/>
      <w:sz w:val="28"/>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styleId="Textkrper">
    <w:name w:val="Body Text"/>
    <w:basedOn w:val="Standard"/>
    <w:link w:val="TextkrperZchn"/>
    <w:pPr>
      <w:spacing w:line="360" w:lineRule="auto"/>
    </w:pPr>
    <w:rPr>
      <w:rFonts w:ascii="Verdana" w:hAnsi="Verdana"/>
      <w:sz w:val="18"/>
    </w:rPr>
  </w:style>
  <w:style w:type="character" w:customStyle="1" w:styleId="TextkrperZchn">
    <w:name w:val="Textkörper Zchn"/>
    <w:link w:val="Textkrper"/>
    <w:rPr>
      <w:rFonts w:ascii="Verdana" w:hAnsi="Verdana"/>
      <w:sz w:val="18"/>
    </w:rPr>
  </w:style>
  <w:style w:type="paragraph" w:customStyle="1" w:styleId="Default">
    <w:name w:val="Default"/>
    <w:pPr>
      <w:autoSpaceDE w:val="0"/>
      <w:autoSpaceDN w:val="0"/>
      <w:adjustRightInd w:val="0"/>
    </w:pPr>
    <w:rPr>
      <w:rFonts w:eastAsia="Calibri"/>
      <w:color w:val="000000"/>
      <w:sz w:val="24"/>
      <w:szCs w:val="24"/>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style>
  <w:style w:type="character" w:customStyle="1" w:styleId="KommentartextZchn">
    <w:name w:val="Kommentartext Zchn"/>
    <w:basedOn w:val="Absatz-Standardschriftart"/>
    <w:link w:val="Kommentartext"/>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b/>
      <w:bCs/>
    </w:rPr>
  </w:style>
  <w:style w:type="paragraph" w:styleId="KeinLeerraum">
    <w:name w:val="No Spacing"/>
    <w:uiPriority w:val="1"/>
    <w:qFormat/>
    <w:rPr>
      <w:rFonts w:asciiTheme="minorHAnsi" w:eastAsiaTheme="minorHAnsi" w:hAnsiTheme="minorHAnsi" w:cstheme="minorBidi"/>
      <w:sz w:val="22"/>
      <w:szCs w:val="22"/>
      <w:lang w:eastAsia="en-US"/>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19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C8016-0A10-4B5A-846E-95B4091D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1463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Anlage 2 zur beschränkten Ausschreibung</vt:lpstr>
    </vt:vector>
  </TitlesOfParts>
  <Company>Stadtverwaltung Muelheim an der Ruhr</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 zur beschränkten Ausschreibung</dc:title>
  <dc:creator>Stadt Mülheim an der Ruhr</dc:creator>
  <cp:lastModifiedBy>MacGregor, Daglind</cp:lastModifiedBy>
  <cp:revision>18</cp:revision>
  <cp:lastPrinted>2023-11-10T13:21:00Z</cp:lastPrinted>
  <dcterms:created xsi:type="dcterms:W3CDTF">2022-12-05T07:08:00Z</dcterms:created>
  <dcterms:modified xsi:type="dcterms:W3CDTF">2024-12-04T09:15:00Z</dcterms:modified>
</cp:coreProperties>
</file>