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rPr>
          <w:b/>
        </w:rPr>
        <w:t>Baumaßnahme:</w:t>
      </w:r>
      <w:r>
        <w:rPr>
          <w:b/>
        </w:rPr>
        <w:tab/>
        <w:t>Otto-</w:t>
      </w:r>
      <w:proofErr w:type="spellStart"/>
      <w:r>
        <w:rPr>
          <w:b/>
        </w:rPr>
        <w:t>Pankok</w:t>
      </w:r>
      <w:proofErr w:type="spellEnd"/>
      <w:r>
        <w:rPr>
          <w:b/>
        </w:rPr>
        <w:t>-Gymnasium - Estricharbeiten</w:t>
      </w:r>
    </w:p>
    <w:p>
      <w:pPr>
        <w:spacing w:line="240" w:lineRule="auto"/>
        <w:jc w:val="center"/>
      </w:pPr>
    </w:p>
    <w:p>
      <w:pPr>
        <w:spacing w:line="240" w:lineRule="auto"/>
        <w:rPr>
          <w:b/>
          <w:u w:val="single"/>
        </w:rPr>
      </w:pPr>
      <w:r>
        <w:rPr>
          <w:b/>
          <w:u w:val="single"/>
        </w:rPr>
        <w:t>Ausschre</w:t>
      </w:r>
      <w:bookmarkStart w:id="0" w:name="_GoBack"/>
      <w:bookmarkEnd w:id="0"/>
      <w:r>
        <w:rPr>
          <w:b/>
          <w:u w:val="single"/>
        </w:rPr>
        <w:t>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17.06.2025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 Ausführungsfrist:</w:t>
            </w:r>
          </w:p>
        </w:tc>
        <w:tc>
          <w:tcPr>
            <w:tcW w:w="2953" w:type="dxa"/>
            <w:gridSpan w:val="2"/>
            <w:shd w:val="clear" w:color="auto" w:fill="auto"/>
          </w:tcPr>
          <w:p>
            <w:pPr>
              <w:spacing w:line="240" w:lineRule="auto"/>
              <w:jc w:val="left"/>
              <w:rPr>
                <w:b/>
              </w:rPr>
            </w:pPr>
            <w:r>
              <w:rPr>
                <w:b/>
              </w:rPr>
              <w:t xml:space="preserve">15. Aug. bis </w:t>
            </w:r>
          </w:p>
          <w:p>
            <w:pPr>
              <w:spacing w:line="240" w:lineRule="auto"/>
              <w:jc w:val="left"/>
              <w:rPr>
                <w:b/>
              </w:rPr>
            </w:pPr>
            <w:r>
              <w:rPr>
                <w:b/>
              </w:rPr>
              <w:t>21. Nov. 2025</w:t>
            </w:r>
          </w:p>
        </w:tc>
      </w:tr>
      <w:tr>
        <w:trPr>
          <w:trHeight w:val="80"/>
        </w:trPr>
        <w:tc>
          <w:tcPr>
            <w:tcW w:w="3927" w:type="dxa"/>
            <w:gridSpan w:val="2"/>
            <w:shd w:val="clear" w:color="auto" w:fill="auto"/>
          </w:tcPr>
          <w:p>
            <w:pPr>
              <w:jc w:val="right"/>
            </w:pPr>
          </w:p>
        </w:tc>
        <w:tc>
          <w:tcPr>
            <w:tcW w:w="2953" w:type="dxa"/>
            <w:gridSpan w:val="2"/>
            <w:shd w:val="clear" w:color="auto" w:fill="auto"/>
          </w:tcPr>
          <w:p>
            <w:pPr>
              <w:spacing w:line="240" w:lineRule="auto"/>
              <w:jc w:val="left"/>
              <w:rPr>
                <w:b/>
              </w:rPr>
            </w:pP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16. Juli 2025</w:t>
            </w:r>
          </w:p>
        </w:tc>
      </w:tr>
      <w:tr>
        <w:trPr>
          <w:trHeight w:val="329"/>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xml:space="preserve">  € (brutto)</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u w:val="single"/>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p>
    <w:p>
      <w:pPr>
        <w:spacing w:line="276" w:lineRule="auto"/>
        <w:jc w:val="left"/>
        <w:rPr>
          <w:u w:val="single"/>
        </w:rPr>
      </w:pPr>
      <w:r>
        <w:rPr>
          <w:u w:val="single"/>
        </w:rPr>
        <w:t>Rechtsaufsicht (vormals Vergabeprüfstelle):</w:t>
      </w:r>
    </w:p>
    <w:p>
      <w:pPr>
        <w:spacing w:line="276" w:lineRule="auto"/>
        <w:jc w:val="left"/>
      </w:pPr>
      <w:r>
        <w:t xml:space="preserve">Bezirksregierung Düsseldorf, Dezernat 34, Am </w:t>
      </w:r>
      <w:proofErr w:type="spellStart"/>
      <w:r>
        <w:t>Bonneshof</w:t>
      </w:r>
      <w:proofErr w:type="spellEnd"/>
      <w:r>
        <w:t xml:space="preserve"> 35, 40474 Düsseldorf</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19AE0-C1FC-42BE-A39F-C8B7BB15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1770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5</cp:revision>
  <dcterms:created xsi:type="dcterms:W3CDTF">2025-05-05T13:07:00Z</dcterms:created>
  <dcterms:modified xsi:type="dcterms:W3CDTF">2025-05-27T14:55:00Z</dcterms:modified>
</cp:coreProperties>
</file>