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60" w:lineRule="auto"/>
      </w:pPr>
    </w:p>
    <w:p>
      <w:pPr>
        <w:spacing w:line="360" w:lineRule="auto"/>
        <w:rPr>
          <w:rFonts w:ascii="Verdana" w:hAnsi="Verdana"/>
          <w:sz w:val="20"/>
          <w:szCs w:val="20"/>
        </w:rPr>
      </w:pPr>
    </w:p>
    <w:p>
      <w:pPr>
        <w:spacing w:line="360" w:lineRule="auto"/>
        <w:rPr>
          <w:rFonts w:ascii="Verdana" w:hAnsi="Verdana"/>
          <w:b/>
          <w:sz w:val="20"/>
          <w:szCs w:val="20"/>
          <w:u w:val="single"/>
        </w:rPr>
      </w:pPr>
      <w:r>
        <w:rPr>
          <w:rFonts w:ascii="Verdana" w:hAnsi="Verdana"/>
          <w:b/>
          <w:sz w:val="20"/>
          <w:szCs w:val="20"/>
          <w:u w:val="single"/>
        </w:rPr>
        <w:t>Folgende Umsatzkennzahlen sind mit Angebotsabgabe (bei Bietergemeinschaften von jedem Unternehmen) vorzulegen. Eine Nachreichung dieser Angaben müssen ab Aufforderung spätestens innerhalb von 6</w:t>
      </w:r>
      <w:bookmarkStart w:id="0" w:name="_GoBack"/>
      <w:bookmarkEnd w:id="0"/>
      <w:r>
        <w:rPr>
          <w:rFonts w:ascii="Verdana" w:hAnsi="Verdana"/>
          <w:b/>
          <w:sz w:val="20"/>
          <w:szCs w:val="20"/>
          <w:u w:val="single"/>
        </w:rPr>
        <w:t xml:space="preserve"> Kalendertagen vorgelegt werden! Werden diese Umsatzkennzahlen nicht bis zum Ablauf der vorgenannten Frist nachgereicht, wird das Angebot von der weiteren Wertung ausgeschlossen! </w:t>
      </w:r>
    </w:p>
    <w:p>
      <w:pPr>
        <w:spacing w:line="360" w:lineRule="auto"/>
        <w:rPr>
          <w:rFonts w:ascii="Verdana" w:hAnsi="Verdana"/>
          <w:b/>
          <w:sz w:val="20"/>
          <w:szCs w:val="20"/>
          <w:u w:val="single"/>
        </w:rPr>
      </w:pPr>
    </w:p>
    <w:p>
      <w:pPr>
        <w:spacing w:line="360" w:lineRule="auto"/>
        <w:rPr>
          <w:rFonts w:ascii="Verdana" w:hAnsi="Verdana"/>
          <w:sz w:val="20"/>
          <w:szCs w:val="20"/>
        </w:rPr>
      </w:pPr>
    </w:p>
    <w:p>
      <w:pPr>
        <w:pStyle w:val="Default"/>
        <w:rPr>
          <w:rFonts w:ascii="Verdana" w:hAnsi="Verdana"/>
          <w:b/>
          <w:sz w:val="20"/>
          <w:szCs w:val="20"/>
          <w:u w:val="single"/>
        </w:rPr>
      </w:pPr>
      <w:r>
        <w:rPr>
          <w:rFonts w:ascii="Verdana" w:hAnsi="Verdana"/>
          <w:b/>
          <w:sz w:val="20"/>
          <w:szCs w:val="20"/>
          <w:u w:val="single"/>
        </w:rPr>
        <w:t>Umsatzkennzahlen:</w:t>
      </w:r>
    </w:p>
    <w:p>
      <w:pPr>
        <w:pStyle w:val="Default"/>
        <w:rPr>
          <w:rFonts w:ascii="Verdana" w:hAnsi="Verdana"/>
          <w:b/>
          <w:sz w:val="20"/>
          <w:szCs w:val="20"/>
          <w:u w:val="single"/>
        </w:rPr>
      </w:pPr>
    </w:p>
    <w:p>
      <w:pPr>
        <w:pStyle w:val="Default"/>
        <w:spacing w:line="360" w:lineRule="auto"/>
        <w:rPr>
          <w:rFonts w:ascii="Verdana" w:hAnsi="Verdana"/>
          <w:sz w:val="18"/>
          <w:szCs w:val="18"/>
        </w:rPr>
      </w:pPr>
      <w:r>
        <w:rPr>
          <w:rFonts w:ascii="Verdana" w:hAnsi="Verdana"/>
          <w:sz w:val="18"/>
          <w:szCs w:val="18"/>
        </w:rPr>
        <w:t>Bitte fügen Sie eine Eigenerklärung über Umsatzkennzahlen der letzten 3 Jahre wie nachfolgend tabellarisch vorgegeben, dem Angebot bei:</w:t>
      </w:r>
    </w:p>
    <w:p>
      <w:pPr>
        <w:pStyle w:val="Default"/>
        <w:spacing w:line="360" w:lineRule="auto"/>
        <w:rPr>
          <w:rFonts w:ascii="Verdana" w:hAnsi="Verdan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3"/>
        <w:gridCol w:w="2987"/>
        <w:gridCol w:w="3062"/>
      </w:tblGrid>
      <w:tr>
        <w:tc>
          <w:tcPr>
            <w:tcW w:w="3070" w:type="dxa"/>
            <w:shd w:val="clear" w:color="auto" w:fill="auto"/>
          </w:tcPr>
          <w:p>
            <w:pPr>
              <w:pStyle w:val="Default"/>
              <w:spacing w:line="360" w:lineRule="auto"/>
              <w:rPr>
                <w:rFonts w:ascii="Verdana" w:hAnsi="Verdana"/>
                <w:b/>
                <w:sz w:val="18"/>
                <w:szCs w:val="18"/>
              </w:rPr>
            </w:pPr>
            <w:r>
              <w:rPr>
                <w:rFonts w:ascii="Verdana" w:hAnsi="Verdana"/>
                <w:b/>
                <w:sz w:val="18"/>
                <w:szCs w:val="18"/>
              </w:rPr>
              <w:t xml:space="preserve">Ende des Geschäftsjahres </w:t>
            </w:r>
          </w:p>
        </w:tc>
        <w:tc>
          <w:tcPr>
            <w:tcW w:w="3071" w:type="dxa"/>
            <w:shd w:val="clear" w:color="auto" w:fill="auto"/>
          </w:tcPr>
          <w:p>
            <w:pPr>
              <w:pStyle w:val="Default"/>
              <w:spacing w:line="360" w:lineRule="auto"/>
              <w:rPr>
                <w:rFonts w:ascii="Verdana" w:hAnsi="Verdana"/>
                <w:b/>
                <w:sz w:val="18"/>
                <w:szCs w:val="18"/>
              </w:rPr>
            </w:pPr>
            <w:r>
              <w:rPr>
                <w:rFonts w:ascii="Verdana" w:hAnsi="Verdana"/>
                <w:b/>
                <w:sz w:val="18"/>
                <w:szCs w:val="18"/>
              </w:rPr>
              <w:t xml:space="preserve">Umsatz insgesamt ohne MwSt. und in Mio. € </w:t>
            </w:r>
          </w:p>
        </w:tc>
        <w:tc>
          <w:tcPr>
            <w:tcW w:w="3071" w:type="dxa"/>
            <w:shd w:val="clear" w:color="auto" w:fill="auto"/>
          </w:tcPr>
          <w:p>
            <w:pPr>
              <w:pStyle w:val="Default"/>
              <w:spacing w:line="360" w:lineRule="auto"/>
              <w:rPr>
                <w:rFonts w:ascii="Verdana" w:hAnsi="Verdana"/>
                <w:b/>
                <w:sz w:val="18"/>
                <w:szCs w:val="18"/>
              </w:rPr>
            </w:pPr>
            <w:r>
              <w:rPr>
                <w:rFonts w:ascii="Verdana" w:hAnsi="Verdana"/>
                <w:b/>
                <w:sz w:val="18"/>
                <w:szCs w:val="18"/>
              </w:rPr>
              <w:t xml:space="preserve">Umsatz im ausschreibungsrelevanten Bereich ohne MwSt. und in Tsd. € </w:t>
            </w:r>
          </w:p>
        </w:tc>
      </w:tr>
      <w:tr>
        <w:tc>
          <w:tcPr>
            <w:tcW w:w="3070" w:type="dxa"/>
            <w:shd w:val="clear" w:color="auto" w:fill="auto"/>
          </w:tcPr>
          <w:p>
            <w:pPr>
              <w:pStyle w:val="Default"/>
              <w:spacing w:line="360" w:lineRule="auto"/>
              <w:jc w:val="center"/>
              <w:rPr>
                <w:rFonts w:ascii="Verdana" w:hAnsi="Verdana"/>
                <w:sz w:val="18"/>
                <w:szCs w:val="18"/>
              </w:rPr>
            </w:pPr>
            <w:r>
              <w:rPr>
                <w:rFonts w:ascii="Verdana" w:hAnsi="Verdana"/>
                <w:sz w:val="18"/>
                <w:szCs w:val="18"/>
              </w:rPr>
              <w:t>2021</w:t>
            </w:r>
          </w:p>
        </w:tc>
        <w:tc>
          <w:tcPr>
            <w:tcW w:w="3071" w:type="dxa"/>
            <w:shd w:val="clear" w:color="auto" w:fill="auto"/>
          </w:tcPr>
          <w:p>
            <w:pPr>
              <w:pStyle w:val="Default"/>
              <w:spacing w:line="360" w:lineRule="auto"/>
              <w:rPr>
                <w:rFonts w:ascii="Verdana" w:hAnsi="Verdana"/>
                <w:sz w:val="18"/>
                <w:szCs w:val="18"/>
              </w:rPr>
            </w:pPr>
          </w:p>
        </w:tc>
        <w:tc>
          <w:tcPr>
            <w:tcW w:w="3071" w:type="dxa"/>
            <w:shd w:val="clear" w:color="auto" w:fill="auto"/>
          </w:tcPr>
          <w:p>
            <w:pPr>
              <w:pStyle w:val="Default"/>
              <w:spacing w:line="360" w:lineRule="auto"/>
              <w:rPr>
                <w:rFonts w:ascii="Verdana" w:hAnsi="Verdana"/>
                <w:sz w:val="18"/>
                <w:szCs w:val="18"/>
              </w:rPr>
            </w:pPr>
          </w:p>
        </w:tc>
      </w:tr>
      <w:tr>
        <w:tc>
          <w:tcPr>
            <w:tcW w:w="3070" w:type="dxa"/>
            <w:shd w:val="clear" w:color="auto" w:fill="auto"/>
          </w:tcPr>
          <w:p>
            <w:pPr>
              <w:pStyle w:val="Default"/>
              <w:spacing w:line="360" w:lineRule="auto"/>
              <w:jc w:val="center"/>
              <w:rPr>
                <w:rFonts w:ascii="Verdana" w:hAnsi="Verdana"/>
                <w:sz w:val="18"/>
                <w:szCs w:val="18"/>
              </w:rPr>
            </w:pPr>
            <w:r>
              <w:rPr>
                <w:rFonts w:ascii="Verdana" w:hAnsi="Verdana"/>
                <w:sz w:val="18"/>
                <w:szCs w:val="18"/>
              </w:rPr>
              <w:t>2022</w:t>
            </w:r>
          </w:p>
        </w:tc>
        <w:tc>
          <w:tcPr>
            <w:tcW w:w="3071" w:type="dxa"/>
            <w:shd w:val="clear" w:color="auto" w:fill="auto"/>
          </w:tcPr>
          <w:p>
            <w:pPr>
              <w:pStyle w:val="Default"/>
              <w:spacing w:line="360" w:lineRule="auto"/>
              <w:rPr>
                <w:rFonts w:ascii="Verdana" w:hAnsi="Verdana"/>
                <w:sz w:val="18"/>
                <w:szCs w:val="18"/>
              </w:rPr>
            </w:pPr>
          </w:p>
        </w:tc>
        <w:tc>
          <w:tcPr>
            <w:tcW w:w="3071" w:type="dxa"/>
            <w:shd w:val="clear" w:color="auto" w:fill="auto"/>
          </w:tcPr>
          <w:p>
            <w:pPr>
              <w:pStyle w:val="Default"/>
              <w:spacing w:line="360" w:lineRule="auto"/>
              <w:rPr>
                <w:rFonts w:ascii="Verdana" w:hAnsi="Verdana"/>
                <w:sz w:val="18"/>
                <w:szCs w:val="18"/>
              </w:rPr>
            </w:pPr>
          </w:p>
        </w:tc>
      </w:tr>
      <w:tr>
        <w:tc>
          <w:tcPr>
            <w:tcW w:w="3070" w:type="dxa"/>
            <w:shd w:val="clear" w:color="auto" w:fill="auto"/>
          </w:tcPr>
          <w:p>
            <w:pPr>
              <w:pStyle w:val="Default"/>
              <w:spacing w:line="360" w:lineRule="auto"/>
              <w:jc w:val="center"/>
              <w:rPr>
                <w:rFonts w:ascii="Verdana" w:hAnsi="Verdana"/>
                <w:sz w:val="18"/>
                <w:szCs w:val="18"/>
              </w:rPr>
            </w:pPr>
            <w:r>
              <w:rPr>
                <w:rFonts w:ascii="Verdana" w:hAnsi="Verdana"/>
                <w:sz w:val="18"/>
                <w:szCs w:val="18"/>
              </w:rPr>
              <w:t>2023</w:t>
            </w:r>
          </w:p>
        </w:tc>
        <w:tc>
          <w:tcPr>
            <w:tcW w:w="3071" w:type="dxa"/>
            <w:shd w:val="clear" w:color="auto" w:fill="auto"/>
          </w:tcPr>
          <w:p>
            <w:pPr>
              <w:pStyle w:val="Default"/>
              <w:spacing w:line="360" w:lineRule="auto"/>
              <w:rPr>
                <w:rFonts w:ascii="Verdana" w:hAnsi="Verdana"/>
                <w:sz w:val="18"/>
                <w:szCs w:val="18"/>
              </w:rPr>
            </w:pPr>
          </w:p>
        </w:tc>
        <w:tc>
          <w:tcPr>
            <w:tcW w:w="3071" w:type="dxa"/>
            <w:shd w:val="clear" w:color="auto" w:fill="auto"/>
          </w:tcPr>
          <w:p>
            <w:pPr>
              <w:pStyle w:val="Default"/>
              <w:spacing w:line="360" w:lineRule="auto"/>
              <w:rPr>
                <w:rFonts w:ascii="Verdana" w:hAnsi="Verdana"/>
                <w:sz w:val="18"/>
                <w:szCs w:val="18"/>
              </w:rPr>
            </w:pPr>
          </w:p>
        </w:tc>
      </w:tr>
    </w:tbl>
    <w:p>
      <w:pPr>
        <w:spacing w:line="360" w:lineRule="auto"/>
        <w:rPr>
          <w:rFonts w:ascii="Verdana" w:hAnsi="Verdana"/>
          <w:b/>
          <w:sz w:val="20"/>
          <w:szCs w:val="20"/>
          <w:u w:val="single"/>
        </w:rPr>
      </w:pPr>
    </w:p>
    <w:p>
      <w:pPr>
        <w:spacing w:line="360" w:lineRule="auto"/>
        <w:rPr>
          <w:rFonts w:ascii="Verdana" w:hAnsi="Verdana"/>
          <w:b/>
          <w:sz w:val="20"/>
          <w:szCs w:val="20"/>
          <w:u w:val="single"/>
        </w:rPr>
      </w:pPr>
      <w:r>
        <w:rPr>
          <w:rFonts w:ascii="Verdana" w:hAnsi="Verdana"/>
          <w:b/>
          <w:sz w:val="20"/>
          <w:szCs w:val="20"/>
          <w:u w:val="single"/>
        </w:rPr>
        <w:t>Bitte beachten Sie folgende Anforderungen:</w:t>
      </w:r>
    </w:p>
    <w:p>
      <w:pPr>
        <w:spacing w:line="360" w:lineRule="auto"/>
        <w:rPr>
          <w:rFonts w:ascii="Verdana" w:hAnsi="Verdana"/>
          <w:b/>
          <w:sz w:val="18"/>
          <w:szCs w:val="18"/>
        </w:rPr>
      </w:pPr>
    </w:p>
    <w:p>
      <w:pPr>
        <w:shd w:val="clear" w:color="auto" w:fill="FFFFFF"/>
        <w:spacing w:line="360" w:lineRule="auto"/>
        <w:ind w:left="705" w:hanging="705"/>
        <w:rPr>
          <w:rFonts w:ascii="Verdana" w:hAnsi="Verdana" w:cs="Arial"/>
          <w:color w:val="202020"/>
          <w:sz w:val="18"/>
          <w:szCs w:val="18"/>
        </w:rPr>
      </w:pPr>
      <w:r>
        <w:rPr>
          <w:rFonts w:ascii="Verdana" w:hAnsi="Verdana" w:cs="Arial"/>
          <w:color w:val="202020"/>
          <w:sz w:val="18"/>
          <w:szCs w:val="18"/>
        </w:rPr>
        <w:t>Die gültige Präqualifikation von Unternehmen umfasst die Eintragung in das amtliche</w:t>
      </w:r>
    </w:p>
    <w:p>
      <w:pPr>
        <w:shd w:val="clear" w:color="auto" w:fill="FFFFFF"/>
        <w:spacing w:line="360" w:lineRule="auto"/>
        <w:rPr>
          <w:rFonts w:ascii="Verdana" w:hAnsi="Verdana" w:cs="Arial"/>
          <w:b/>
          <w:color w:val="202020"/>
          <w:sz w:val="18"/>
          <w:szCs w:val="18"/>
        </w:rPr>
      </w:pPr>
      <w:r>
        <w:rPr>
          <w:rFonts w:ascii="Verdana" w:hAnsi="Verdana" w:cs="Arial"/>
          <w:color w:val="202020"/>
          <w:sz w:val="18"/>
          <w:szCs w:val="18"/>
        </w:rPr>
        <w:t xml:space="preserve">Verzeichnis präqualifizierter Unternehmen (AVPQ) für Liefer-und Dienstleistungsaufträge. In diesem Verzeichnis kann durch Eingabe des Links </w:t>
      </w:r>
      <w:hyperlink r:id="rId7" w:history="1">
        <w:r>
          <w:rPr>
            <w:rStyle w:val="Hyperlink"/>
            <w:rFonts w:ascii="Verdana" w:hAnsi="Verdana" w:cs="Arial"/>
            <w:sz w:val="18"/>
            <w:szCs w:val="18"/>
          </w:rPr>
          <w:t>http://amtliches-verzeichnis.ihk.de</w:t>
        </w:r>
      </w:hyperlink>
      <w:r>
        <w:rPr>
          <w:rFonts w:ascii="Verdana" w:hAnsi="Verdana" w:cs="Arial"/>
          <w:color w:val="202020"/>
          <w:sz w:val="18"/>
          <w:szCs w:val="18"/>
        </w:rPr>
        <w:t xml:space="preserve">  mittels einer  vom Bewerber/Bieter angegebenen Zertifikatsnummer  die Eintragungsrecherche erfolgen.  Falls Ihr Unternehmen präqualifiziert ist, geben Sie bitte die Zertifikatsnummer und den Zugangscode für die Recherche in der o. g. Datenbank mit an. Im Fall einer Präqualifikation müssen die zuvor erwähnten Umsatzkennzahlen nicht beigebracht werden. Bei Bietergemeinschaften muss jedes Einzelunternehmen die zuvor erwähnten Nachweise beibringen, falls es nicht einzeln präqualifiziert ist</w:t>
      </w:r>
      <w:r>
        <w:rPr>
          <w:rFonts w:ascii="Verdana" w:hAnsi="Verdana"/>
          <w:b/>
          <w:sz w:val="18"/>
          <w:szCs w:val="18"/>
        </w:rPr>
        <w:t>.</w:t>
      </w:r>
    </w:p>
    <w:sectPr>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Bdr>
        <w:top w:val="thinThickSmallGap" w:sz="24" w:space="1" w:color="622423"/>
      </w:pBdr>
      <w:tabs>
        <w:tab w:val="clear" w:pos="4536"/>
        <w:tab w:val="left" w:pos="2693"/>
      </w:tabs>
      <w:rPr>
        <w:rFonts w:ascii="Cambria" w:hAnsi="Cambria"/>
      </w:rPr>
    </w:pPr>
    <w:r>
      <w:rPr>
        <w:rFonts w:ascii="Cambria" w:hAnsi="Cambria"/>
      </w:rPr>
      <w:t>Nachweis über wirtschaftliche Leistungsfähigkeit</w:t>
    </w:r>
    <w:r>
      <w:rPr>
        <w:rFonts w:ascii="Cambria" w:hAnsi="Cambria"/>
      </w:rPr>
      <w:tab/>
    </w:r>
    <w:r>
      <w:rPr>
        <w:rFonts w:ascii="Cambria" w:hAnsi="Cambria"/>
      </w:rPr>
      <w:tab/>
      <w:t xml:space="preserve">Seite </w:t>
    </w:r>
    <w:r>
      <w:rPr>
        <w:rFonts w:ascii="Calibri" w:hAnsi="Calibri"/>
      </w:rPr>
      <w:fldChar w:fldCharType="begin"/>
    </w:r>
    <w:r>
      <w:instrText>PAGE   \* MERGEFORMAT</w:instrText>
    </w:r>
    <w:r>
      <w:rPr>
        <w:rFonts w:ascii="Calibri" w:hAnsi="Calibri"/>
      </w:rPr>
      <w:fldChar w:fldCharType="separate"/>
    </w:r>
    <w:r>
      <w:rPr>
        <w:rFonts w:ascii="Cambria" w:hAnsi="Cambria"/>
        <w:noProof/>
      </w:rPr>
      <w:t>1</w:t>
    </w:r>
    <w:r>
      <w:rPr>
        <w:rFonts w:ascii="Cambria" w:hAnsi="Cambria"/>
      </w:rPr>
      <w:fldChar w:fldCharType="end"/>
    </w:r>
  </w:p>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urText"/>
      <w:spacing w:line="360" w:lineRule="auto"/>
      <w:ind w:left="360"/>
      <w:rPr>
        <w:b/>
        <w:sz w:val="22"/>
        <w:szCs w:val="22"/>
      </w:rPr>
    </w:pPr>
    <w:r>
      <w:rPr>
        <w:b/>
        <w:sz w:val="22"/>
        <w:szCs w:val="22"/>
      </w:rPr>
      <w:t xml:space="preserve">Nachweise über die wirtschaftliche Leistungsfähigkeit des Anbieters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1C13"/>
    <w:multiLevelType w:val="hybridMultilevel"/>
    <w:tmpl w:val="DC1E037E"/>
    <w:lvl w:ilvl="0" w:tplc="0407000F">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4421FDE"/>
    <w:multiLevelType w:val="multilevel"/>
    <w:tmpl w:val="9D3A3F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59A14CF8"/>
    <w:multiLevelType w:val="multilevel"/>
    <w:tmpl w:val="1750C2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CA5793A-4F39-4FDB-AB1E-F8776C3E5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semiHidden/>
    <w:locked/>
    <w:rPr>
      <w:sz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Pr>
      <w:sz w:val="24"/>
    </w:rPr>
  </w:style>
  <w:style w:type="paragraph" w:styleId="Abbildungsverzeichnis">
    <w:name w:val="table of figures"/>
    <w:basedOn w:val="Standard"/>
    <w:next w:val="Standard"/>
    <w:uiPriority w:val="99"/>
    <w:semiHidden/>
    <w:pPr>
      <w:ind w:left="400" w:hanging="400"/>
    </w:pPr>
    <w:rPr>
      <w:rFonts w:ascii="Verdana" w:hAnsi="Verdana"/>
      <w:sz w:val="20"/>
      <w:szCs w:val="20"/>
    </w:rPr>
  </w:style>
  <w:style w:type="paragraph" w:styleId="NurText">
    <w:name w:val="Plain Text"/>
    <w:basedOn w:val="Standard"/>
    <w:link w:val="NurTextZchn"/>
    <w:uiPriority w:val="99"/>
    <w:rPr>
      <w:rFonts w:ascii="Verdana" w:hAnsi="Verdana"/>
      <w:sz w:val="20"/>
      <w:szCs w:val="20"/>
    </w:rPr>
  </w:style>
  <w:style w:type="character" w:customStyle="1" w:styleId="NurTextZchn">
    <w:name w:val="Nur Text Zchn"/>
    <w:link w:val="NurText"/>
    <w:uiPriority w:val="99"/>
    <w:semiHidden/>
    <w:locked/>
    <w:rPr>
      <w:rFonts w:ascii="Courier New" w:hAnsi="Courier New"/>
    </w:rPr>
  </w:style>
  <w:style w:type="paragraph" w:styleId="StandardWeb">
    <w:name w:val="Normal (Web)"/>
    <w:basedOn w:val="Standard"/>
    <w:uiPriority w:val="99"/>
    <w:pPr>
      <w:spacing w:before="100" w:beforeAutospacing="1" w:after="100" w:afterAutospacing="1"/>
    </w:pPr>
  </w:style>
  <w:style w:type="character" w:styleId="Hyperlink">
    <w:name w:val="Hyperlink"/>
    <w:uiPriority w:val="99"/>
    <w:rPr>
      <w:color w:val="0000FF"/>
      <w:u w:val="single"/>
    </w:rPr>
  </w:style>
  <w:style w:type="character" w:customStyle="1" w:styleId="veraltet">
    <w:name w:val="veraltet"/>
  </w:style>
  <w:style w:type="character" w:styleId="BesuchterLink">
    <w:name w:val="FollowedHyperlink"/>
    <w:uiPriority w:val="99"/>
    <w:rPr>
      <w:color w:val="800080"/>
      <w:u w:val="single"/>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link w:val="Sprechblasentext"/>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013589">
      <w:marLeft w:val="0"/>
      <w:marRight w:val="0"/>
      <w:marTop w:val="0"/>
      <w:marBottom w:val="0"/>
      <w:divBdr>
        <w:top w:val="none" w:sz="0" w:space="0" w:color="auto"/>
        <w:left w:val="none" w:sz="0" w:space="0" w:color="auto"/>
        <w:bottom w:val="none" w:sz="0" w:space="0" w:color="auto"/>
        <w:right w:val="none" w:sz="0" w:space="0" w:color="auto"/>
      </w:divBdr>
      <w:divsChild>
        <w:div w:id="719013587">
          <w:marLeft w:val="0"/>
          <w:marRight w:val="0"/>
          <w:marTop w:val="0"/>
          <w:marBottom w:val="0"/>
          <w:divBdr>
            <w:top w:val="none" w:sz="0" w:space="0" w:color="auto"/>
            <w:left w:val="none" w:sz="0" w:space="0" w:color="auto"/>
            <w:bottom w:val="none" w:sz="0" w:space="0" w:color="auto"/>
            <w:right w:val="none" w:sz="0" w:space="0" w:color="auto"/>
          </w:divBdr>
        </w:div>
        <w:div w:id="719013590">
          <w:marLeft w:val="0"/>
          <w:marRight w:val="0"/>
          <w:marTop w:val="0"/>
          <w:marBottom w:val="0"/>
          <w:divBdr>
            <w:top w:val="none" w:sz="0" w:space="0" w:color="auto"/>
            <w:left w:val="none" w:sz="0" w:space="0" w:color="auto"/>
            <w:bottom w:val="none" w:sz="0" w:space="0" w:color="auto"/>
            <w:right w:val="none" w:sz="0" w:space="0" w:color="auto"/>
          </w:divBdr>
        </w:div>
        <w:div w:id="719013591">
          <w:marLeft w:val="0"/>
          <w:marRight w:val="0"/>
          <w:marTop w:val="0"/>
          <w:marBottom w:val="0"/>
          <w:divBdr>
            <w:top w:val="none" w:sz="0" w:space="0" w:color="auto"/>
            <w:left w:val="none" w:sz="0" w:space="0" w:color="auto"/>
            <w:bottom w:val="none" w:sz="0" w:space="0" w:color="auto"/>
            <w:right w:val="none" w:sz="0" w:space="0" w:color="auto"/>
          </w:divBdr>
        </w:div>
        <w:div w:id="719013598">
          <w:marLeft w:val="0"/>
          <w:marRight w:val="0"/>
          <w:marTop w:val="0"/>
          <w:marBottom w:val="0"/>
          <w:divBdr>
            <w:top w:val="none" w:sz="0" w:space="0" w:color="auto"/>
            <w:left w:val="none" w:sz="0" w:space="0" w:color="auto"/>
            <w:bottom w:val="none" w:sz="0" w:space="0" w:color="auto"/>
            <w:right w:val="none" w:sz="0" w:space="0" w:color="auto"/>
          </w:divBdr>
        </w:div>
        <w:div w:id="719013600">
          <w:marLeft w:val="0"/>
          <w:marRight w:val="0"/>
          <w:marTop w:val="0"/>
          <w:marBottom w:val="0"/>
          <w:divBdr>
            <w:top w:val="none" w:sz="0" w:space="0" w:color="auto"/>
            <w:left w:val="none" w:sz="0" w:space="0" w:color="auto"/>
            <w:bottom w:val="none" w:sz="0" w:space="0" w:color="auto"/>
            <w:right w:val="none" w:sz="0" w:space="0" w:color="auto"/>
          </w:divBdr>
        </w:div>
        <w:div w:id="719013602">
          <w:marLeft w:val="0"/>
          <w:marRight w:val="0"/>
          <w:marTop w:val="0"/>
          <w:marBottom w:val="0"/>
          <w:divBdr>
            <w:top w:val="none" w:sz="0" w:space="0" w:color="auto"/>
            <w:left w:val="none" w:sz="0" w:space="0" w:color="auto"/>
            <w:bottom w:val="none" w:sz="0" w:space="0" w:color="auto"/>
            <w:right w:val="none" w:sz="0" w:space="0" w:color="auto"/>
          </w:divBdr>
        </w:div>
        <w:div w:id="719013603">
          <w:marLeft w:val="0"/>
          <w:marRight w:val="0"/>
          <w:marTop w:val="0"/>
          <w:marBottom w:val="0"/>
          <w:divBdr>
            <w:top w:val="none" w:sz="0" w:space="0" w:color="auto"/>
            <w:left w:val="none" w:sz="0" w:space="0" w:color="auto"/>
            <w:bottom w:val="none" w:sz="0" w:space="0" w:color="auto"/>
            <w:right w:val="none" w:sz="0" w:space="0" w:color="auto"/>
          </w:divBdr>
        </w:div>
        <w:div w:id="719013606">
          <w:marLeft w:val="0"/>
          <w:marRight w:val="0"/>
          <w:marTop w:val="0"/>
          <w:marBottom w:val="0"/>
          <w:divBdr>
            <w:top w:val="none" w:sz="0" w:space="0" w:color="auto"/>
            <w:left w:val="none" w:sz="0" w:space="0" w:color="auto"/>
            <w:bottom w:val="none" w:sz="0" w:space="0" w:color="auto"/>
            <w:right w:val="none" w:sz="0" w:space="0" w:color="auto"/>
          </w:divBdr>
        </w:div>
        <w:div w:id="719013609">
          <w:marLeft w:val="0"/>
          <w:marRight w:val="0"/>
          <w:marTop w:val="0"/>
          <w:marBottom w:val="0"/>
          <w:divBdr>
            <w:top w:val="none" w:sz="0" w:space="0" w:color="auto"/>
            <w:left w:val="none" w:sz="0" w:space="0" w:color="auto"/>
            <w:bottom w:val="none" w:sz="0" w:space="0" w:color="auto"/>
            <w:right w:val="none" w:sz="0" w:space="0" w:color="auto"/>
          </w:divBdr>
        </w:div>
        <w:div w:id="719013610">
          <w:marLeft w:val="0"/>
          <w:marRight w:val="0"/>
          <w:marTop w:val="0"/>
          <w:marBottom w:val="0"/>
          <w:divBdr>
            <w:top w:val="none" w:sz="0" w:space="0" w:color="auto"/>
            <w:left w:val="none" w:sz="0" w:space="0" w:color="auto"/>
            <w:bottom w:val="none" w:sz="0" w:space="0" w:color="auto"/>
            <w:right w:val="none" w:sz="0" w:space="0" w:color="auto"/>
          </w:divBdr>
        </w:div>
      </w:divsChild>
    </w:div>
    <w:div w:id="719013604">
      <w:marLeft w:val="0"/>
      <w:marRight w:val="0"/>
      <w:marTop w:val="0"/>
      <w:marBottom w:val="0"/>
      <w:divBdr>
        <w:top w:val="none" w:sz="0" w:space="0" w:color="auto"/>
        <w:left w:val="none" w:sz="0" w:space="0" w:color="auto"/>
        <w:bottom w:val="none" w:sz="0" w:space="0" w:color="auto"/>
        <w:right w:val="none" w:sz="0" w:space="0" w:color="auto"/>
      </w:divBdr>
      <w:divsChild>
        <w:div w:id="719013588">
          <w:marLeft w:val="0"/>
          <w:marRight w:val="0"/>
          <w:marTop w:val="0"/>
          <w:marBottom w:val="0"/>
          <w:divBdr>
            <w:top w:val="none" w:sz="0" w:space="0" w:color="auto"/>
            <w:left w:val="none" w:sz="0" w:space="0" w:color="auto"/>
            <w:bottom w:val="none" w:sz="0" w:space="0" w:color="auto"/>
            <w:right w:val="none" w:sz="0" w:space="0" w:color="auto"/>
          </w:divBdr>
        </w:div>
        <w:div w:id="719013592">
          <w:marLeft w:val="0"/>
          <w:marRight w:val="0"/>
          <w:marTop w:val="0"/>
          <w:marBottom w:val="0"/>
          <w:divBdr>
            <w:top w:val="none" w:sz="0" w:space="0" w:color="auto"/>
            <w:left w:val="none" w:sz="0" w:space="0" w:color="auto"/>
            <w:bottom w:val="none" w:sz="0" w:space="0" w:color="auto"/>
            <w:right w:val="none" w:sz="0" w:space="0" w:color="auto"/>
          </w:divBdr>
        </w:div>
        <w:div w:id="719013593">
          <w:marLeft w:val="0"/>
          <w:marRight w:val="0"/>
          <w:marTop w:val="0"/>
          <w:marBottom w:val="0"/>
          <w:divBdr>
            <w:top w:val="none" w:sz="0" w:space="0" w:color="auto"/>
            <w:left w:val="none" w:sz="0" w:space="0" w:color="auto"/>
            <w:bottom w:val="none" w:sz="0" w:space="0" w:color="auto"/>
            <w:right w:val="none" w:sz="0" w:space="0" w:color="auto"/>
          </w:divBdr>
        </w:div>
        <w:div w:id="719013594">
          <w:marLeft w:val="0"/>
          <w:marRight w:val="0"/>
          <w:marTop w:val="0"/>
          <w:marBottom w:val="0"/>
          <w:divBdr>
            <w:top w:val="none" w:sz="0" w:space="0" w:color="auto"/>
            <w:left w:val="none" w:sz="0" w:space="0" w:color="auto"/>
            <w:bottom w:val="none" w:sz="0" w:space="0" w:color="auto"/>
            <w:right w:val="none" w:sz="0" w:space="0" w:color="auto"/>
          </w:divBdr>
        </w:div>
        <w:div w:id="719013595">
          <w:marLeft w:val="0"/>
          <w:marRight w:val="0"/>
          <w:marTop w:val="0"/>
          <w:marBottom w:val="0"/>
          <w:divBdr>
            <w:top w:val="none" w:sz="0" w:space="0" w:color="auto"/>
            <w:left w:val="none" w:sz="0" w:space="0" w:color="auto"/>
            <w:bottom w:val="none" w:sz="0" w:space="0" w:color="auto"/>
            <w:right w:val="none" w:sz="0" w:space="0" w:color="auto"/>
          </w:divBdr>
        </w:div>
        <w:div w:id="719013596">
          <w:marLeft w:val="0"/>
          <w:marRight w:val="0"/>
          <w:marTop w:val="0"/>
          <w:marBottom w:val="0"/>
          <w:divBdr>
            <w:top w:val="none" w:sz="0" w:space="0" w:color="auto"/>
            <w:left w:val="none" w:sz="0" w:space="0" w:color="auto"/>
            <w:bottom w:val="none" w:sz="0" w:space="0" w:color="auto"/>
            <w:right w:val="none" w:sz="0" w:space="0" w:color="auto"/>
          </w:divBdr>
        </w:div>
        <w:div w:id="719013597">
          <w:marLeft w:val="0"/>
          <w:marRight w:val="0"/>
          <w:marTop w:val="0"/>
          <w:marBottom w:val="0"/>
          <w:divBdr>
            <w:top w:val="none" w:sz="0" w:space="0" w:color="auto"/>
            <w:left w:val="none" w:sz="0" w:space="0" w:color="auto"/>
            <w:bottom w:val="none" w:sz="0" w:space="0" w:color="auto"/>
            <w:right w:val="none" w:sz="0" w:space="0" w:color="auto"/>
          </w:divBdr>
        </w:div>
        <w:div w:id="719013599">
          <w:marLeft w:val="0"/>
          <w:marRight w:val="0"/>
          <w:marTop w:val="0"/>
          <w:marBottom w:val="0"/>
          <w:divBdr>
            <w:top w:val="none" w:sz="0" w:space="0" w:color="auto"/>
            <w:left w:val="none" w:sz="0" w:space="0" w:color="auto"/>
            <w:bottom w:val="none" w:sz="0" w:space="0" w:color="auto"/>
            <w:right w:val="none" w:sz="0" w:space="0" w:color="auto"/>
          </w:divBdr>
        </w:div>
        <w:div w:id="719013601">
          <w:marLeft w:val="0"/>
          <w:marRight w:val="0"/>
          <w:marTop w:val="0"/>
          <w:marBottom w:val="0"/>
          <w:divBdr>
            <w:top w:val="none" w:sz="0" w:space="0" w:color="auto"/>
            <w:left w:val="none" w:sz="0" w:space="0" w:color="auto"/>
            <w:bottom w:val="none" w:sz="0" w:space="0" w:color="auto"/>
            <w:right w:val="none" w:sz="0" w:space="0" w:color="auto"/>
          </w:divBdr>
        </w:div>
        <w:div w:id="719013605">
          <w:marLeft w:val="0"/>
          <w:marRight w:val="0"/>
          <w:marTop w:val="0"/>
          <w:marBottom w:val="0"/>
          <w:divBdr>
            <w:top w:val="none" w:sz="0" w:space="0" w:color="auto"/>
            <w:left w:val="none" w:sz="0" w:space="0" w:color="auto"/>
            <w:bottom w:val="none" w:sz="0" w:space="0" w:color="auto"/>
            <w:right w:val="none" w:sz="0" w:space="0" w:color="auto"/>
          </w:divBdr>
        </w:div>
        <w:div w:id="719013607">
          <w:marLeft w:val="0"/>
          <w:marRight w:val="0"/>
          <w:marTop w:val="0"/>
          <w:marBottom w:val="0"/>
          <w:divBdr>
            <w:top w:val="none" w:sz="0" w:space="0" w:color="auto"/>
            <w:left w:val="none" w:sz="0" w:space="0" w:color="auto"/>
            <w:bottom w:val="none" w:sz="0" w:space="0" w:color="auto"/>
            <w:right w:val="none" w:sz="0" w:space="0" w:color="auto"/>
          </w:divBdr>
        </w:div>
        <w:div w:id="719013608">
          <w:marLeft w:val="0"/>
          <w:marRight w:val="0"/>
          <w:marTop w:val="0"/>
          <w:marBottom w:val="0"/>
          <w:divBdr>
            <w:top w:val="none" w:sz="0" w:space="0" w:color="auto"/>
            <w:left w:val="none" w:sz="0" w:space="0" w:color="auto"/>
            <w:bottom w:val="none" w:sz="0" w:space="0" w:color="auto"/>
            <w:right w:val="none" w:sz="0" w:space="0" w:color="auto"/>
          </w:divBdr>
        </w:div>
        <w:div w:id="719013611">
          <w:marLeft w:val="0"/>
          <w:marRight w:val="0"/>
          <w:marTop w:val="0"/>
          <w:marBottom w:val="0"/>
          <w:divBdr>
            <w:top w:val="none" w:sz="0" w:space="0" w:color="auto"/>
            <w:left w:val="none" w:sz="0" w:space="0" w:color="auto"/>
            <w:bottom w:val="none" w:sz="0" w:space="0" w:color="auto"/>
            <w:right w:val="none" w:sz="0" w:space="0" w:color="auto"/>
          </w:divBdr>
        </w:div>
        <w:div w:id="719013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mtliches-verzeichnis.ihk.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1336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Mir / Uns ist bekannt, dass ein Unternehmen von der Teilnahme an einem Vergabeverfahren wegen Unzuverlässigkeit ausgeschlossen wird, wenn der Auftraggeber Kenntnis davon hat, dass eine Person, deren Verhalten dem Unternehmen zuzurechnen ist, rechtskräfti</vt:lpstr>
    </vt:vector>
  </TitlesOfParts>
  <Company>Stadt MH</Company>
  <LinksUpToDate>false</LinksUpToDate>
  <CharactersWithSpaces>1544</CharactersWithSpaces>
  <SharedDoc>false</SharedDoc>
  <HLinks>
    <vt:vector size="6" baseType="variant">
      <vt:variant>
        <vt:i4>1704025</vt:i4>
      </vt:variant>
      <vt:variant>
        <vt:i4>0</vt:i4>
      </vt:variant>
      <vt:variant>
        <vt:i4>0</vt:i4>
      </vt:variant>
      <vt:variant>
        <vt:i4>5</vt:i4>
      </vt:variant>
      <vt:variant>
        <vt:lpwstr>http://amtliches-verzeichnis.ihk.de/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Mir / Uns ist bekannt, dass ein Unternehmen von der Teilnahme an einem Vergabeverfahren wegen Unzuverlässigkeit ausgeschlossen wird, wenn der Auftraggeber Kenntnis davon hat, dass eine Person, deren Verhalten dem Unternehmen zuzurechnen ist, rechtskräfti</dc:title>
  <dc:creator>Flettner, Michael</dc:creator>
  <cp:lastModifiedBy>Sandfort, Fabian</cp:lastModifiedBy>
  <cp:revision>5</cp:revision>
  <dcterms:created xsi:type="dcterms:W3CDTF">2022-03-03T08:53:00Z</dcterms:created>
  <dcterms:modified xsi:type="dcterms:W3CDTF">2024-11-20T08:02:00Z</dcterms:modified>
</cp:coreProperties>
</file>