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Umschlagabsenderadresse"/>
        <w:spacing w:line="360" w:lineRule="auto"/>
        <w:rPr>
          <w:b/>
        </w:rPr>
      </w:pPr>
    </w:p>
    <w:p>
      <w:pPr>
        <w:pStyle w:val="Umschlagabsenderadresse"/>
        <w:spacing w:line="360" w:lineRule="auto"/>
        <w:jc w:val="both"/>
        <w:rPr>
          <w:b/>
        </w:rPr>
      </w:pPr>
      <w:r>
        <w:rPr>
          <w:b/>
        </w:rPr>
        <w:t xml:space="preserve">Ergänzende Beschreibung des Vertragsgegenstandes – Leistungsbeschreibung – </w:t>
      </w:r>
    </w:p>
    <w:p>
      <w:pPr>
        <w:pStyle w:val="NurText"/>
        <w:spacing w:line="360" w:lineRule="auto"/>
        <w:jc w:val="both"/>
      </w:pPr>
    </w:p>
    <w:p>
      <w:pPr>
        <w:spacing w:line="360" w:lineRule="auto"/>
        <w:jc w:val="both"/>
      </w:pPr>
      <w:r>
        <w:t xml:space="preserve">Auf diverse Schulstandorte im Stadtgebiet der Auftraggeberin werden bereits interaktive Displays des Modells </w:t>
      </w:r>
      <w:proofErr w:type="spellStart"/>
      <w:r>
        <w:t>Viewsonic</w:t>
      </w:r>
      <w:proofErr w:type="spellEnd"/>
      <w:r>
        <w:t xml:space="preserve"> IFP-8652 eingesetzt. Der Einsatz dieses Modells (oder </w:t>
      </w:r>
      <w:proofErr w:type="spellStart"/>
      <w:r>
        <w:t>Foglemodells</w:t>
      </w:r>
      <w:proofErr w:type="spellEnd"/>
      <w:r>
        <w:t>) soll auf weitere Klassenräume/Schulstandorte ausgeweitet werden.</w:t>
      </w:r>
    </w:p>
    <w:p>
      <w:pPr>
        <w:spacing w:line="360" w:lineRule="auto"/>
        <w:jc w:val="both"/>
      </w:pPr>
    </w:p>
    <w:p>
      <w:pPr>
        <w:spacing w:line="360" w:lineRule="auto"/>
        <w:jc w:val="both"/>
      </w:pPr>
      <w:r>
        <w:t>Der Bestbieter wird mit der Lieferung, Installation und Montage der vollständigen Liefermenge für die maximale Vertragsdauer von 24 Monaten beauftragt. Innerhalb der Vertragslaufzeit werden Einzelbestellungen bzw. Abrufbestellungen in Textform per Fax oder per Mail beauftragt. Die Installation und Montage der interaktiven Displays erfolgt nach Auslieferung vor Ort in den Schulstandorten.</w:t>
      </w:r>
    </w:p>
    <w:p>
      <w:pPr>
        <w:spacing w:line="360" w:lineRule="auto"/>
        <w:jc w:val="both"/>
      </w:pPr>
    </w:p>
    <w:p>
      <w:pPr>
        <w:spacing w:line="360" w:lineRule="auto"/>
        <w:jc w:val="both"/>
        <w:rPr>
          <w:b/>
        </w:rPr>
      </w:pPr>
      <w:r>
        <w:rPr>
          <w:b/>
        </w:rPr>
        <w:t>Vertragsbeginn ist der 01.02.2025. Die Mindestvertragsdauer beträgt 12 Monate und kann mit einer Frist von 3 Monaten vor Ablauf der Mindestvertragsdauer 1x um 12 weitere Monate verlängert werden. Dieser Rahmenvertrag endet spätestens zum 31.01.2027 oder vorzeitig, falls das nachfolgend aufgeführte maximale Vertragsvolumen vorzeitig erreicht bzw. die Option um 12 Monate zu verlängern nicht in Anspruch genommen wird.</w:t>
      </w:r>
    </w:p>
    <w:p>
      <w:pPr>
        <w:spacing w:line="360" w:lineRule="auto"/>
        <w:jc w:val="both"/>
        <w:rPr>
          <w:b/>
        </w:rPr>
      </w:pPr>
    </w:p>
    <w:p>
      <w:pPr>
        <w:pStyle w:val="Textkrper"/>
      </w:pPr>
      <w:r>
        <w:t>Für jedes Vertragsjahr wird ein Auftragswert zzgl. MwSt. als Minimalwert hochgerechnet. Dieser Auftragswert muss im lfd. Vertragsjahr verpflichtend abgerufen werden. Der für jedes Vertragsjahr festgelegte Maximalwert, wird ausgehend vom ersten Vertragsjahr fortgeschrieben. Der hochgerechnete Maximalwert verpflichtet nicht zum Abruf von Bestellungen und umfasst lediglich das maximal erreichbare Vertragsvolumen:</w:t>
      </w:r>
    </w:p>
    <w:p>
      <w:pPr>
        <w:pStyle w:val="Textkrper"/>
      </w:pPr>
    </w:p>
    <w:p>
      <w:pPr>
        <w:pStyle w:val="Textkrper"/>
      </w:pPr>
      <w:r>
        <w:t>Für die Auftragswertkalkulation wird der aktuell tatsächlich bestehende Bedarf herangezogen. Es ist davon auszugehen, dass auch im Folgejahr ein Bedarf anfällt und beschafft werden muss. Da der Bedarf des kommenden Jahres derzeit nicht genau beziffert werden kann, soll die Möglichkeit zur Verlängerung um 12 Monate bestehen.</w:t>
      </w:r>
    </w:p>
    <w:p>
      <w:pPr>
        <w:pStyle w:val="Textkrper"/>
      </w:pPr>
    </w:p>
    <w:p>
      <w:pPr>
        <w:pStyle w:val="Textkrper"/>
      </w:pPr>
      <w:r>
        <w:t>Aus dem derzeitigen tatsächlichen Bedarf ergibt sich die Mindestabnahme/Minimalwert und aus der Hochrechnung für die Folgejahre die Maximalabnahme/Maximalwert.</w:t>
      </w:r>
    </w:p>
    <w:p>
      <w:pPr>
        <w:pStyle w:val="Textkrper"/>
      </w:pPr>
    </w:p>
    <w:tbl>
      <w:tblPr>
        <w:tblStyle w:val="Tabellenraster"/>
        <w:tblW w:w="0" w:type="auto"/>
        <w:tblLook w:val="04A0" w:firstRow="1" w:lastRow="0" w:firstColumn="1" w:lastColumn="0" w:noHBand="0" w:noVBand="1"/>
      </w:tblPr>
      <w:tblGrid>
        <w:gridCol w:w="3020"/>
        <w:gridCol w:w="3020"/>
        <w:gridCol w:w="3021"/>
      </w:tblGrid>
      <w:tr>
        <w:tc>
          <w:tcPr>
            <w:tcW w:w="3020" w:type="dxa"/>
          </w:tcPr>
          <w:p>
            <w:pPr>
              <w:pStyle w:val="Textkrper"/>
              <w:jc w:val="center"/>
              <w:rPr>
                <w:b/>
              </w:rPr>
            </w:pPr>
            <w:r>
              <w:rPr>
                <w:b/>
              </w:rPr>
              <w:lastRenderedPageBreak/>
              <w:t>Vertragsjahr</w:t>
            </w:r>
          </w:p>
        </w:tc>
        <w:tc>
          <w:tcPr>
            <w:tcW w:w="3020" w:type="dxa"/>
          </w:tcPr>
          <w:p>
            <w:pPr>
              <w:pStyle w:val="Textkrper"/>
              <w:jc w:val="center"/>
              <w:rPr>
                <w:b/>
              </w:rPr>
            </w:pPr>
            <w:r>
              <w:rPr>
                <w:b/>
              </w:rPr>
              <w:t xml:space="preserve"> Minimalwert (zzgl. MwSt.):</w:t>
            </w:r>
          </w:p>
        </w:tc>
        <w:tc>
          <w:tcPr>
            <w:tcW w:w="3021" w:type="dxa"/>
          </w:tcPr>
          <w:p>
            <w:pPr>
              <w:pStyle w:val="Textkrper"/>
              <w:jc w:val="center"/>
            </w:pPr>
            <w:r>
              <w:rPr>
                <w:b/>
              </w:rPr>
              <w:t>Maximalwert (zzgl. MwSt.):</w:t>
            </w:r>
          </w:p>
        </w:tc>
      </w:tr>
      <w:tr>
        <w:tc>
          <w:tcPr>
            <w:tcW w:w="3020" w:type="dxa"/>
          </w:tcPr>
          <w:p>
            <w:pPr>
              <w:pStyle w:val="Textkrper"/>
              <w:jc w:val="center"/>
            </w:pPr>
            <w:r>
              <w:t>2024-2025</w:t>
            </w:r>
          </w:p>
        </w:tc>
        <w:tc>
          <w:tcPr>
            <w:tcW w:w="3020" w:type="dxa"/>
          </w:tcPr>
          <w:p>
            <w:pPr>
              <w:pStyle w:val="Textkrper"/>
              <w:jc w:val="left"/>
            </w:pPr>
            <w:r>
              <w:t>Gesamtwert an Abrufbestellungen inkl. Montage und Installation: 700.000,00 €</w:t>
            </w:r>
          </w:p>
          <w:p>
            <w:pPr>
              <w:pStyle w:val="Textkrper"/>
              <w:jc w:val="left"/>
            </w:pPr>
          </w:p>
        </w:tc>
        <w:tc>
          <w:tcPr>
            <w:tcW w:w="3021" w:type="dxa"/>
          </w:tcPr>
          <w:p>
            <w:pPr>
              <w:pStyle w:val="Textkrper"/>
              <w:jc w:val="left"/>
            </w:pPr>
            <w:r>
              <w:t>Gesamtwert an Abrufbestellungen inkl. Montage und Installation: 3.500.000,00 €</w:t>
            </w:r>
          </w:p>
          <w:p>
            <w:pPr>
              <w:pStyle w:val="Textkrper"/>
              <w:jc w:val="left"/>
            </w:pPr>
          </w:p>
        </w:tc>
      </w:tr>
      <w:tr>
        <w:tc>
          <w:tcPr>
            <w:tcW w:w="3020" w:type="dxa"/>
          </w:tcPr>
          <w:p>
            <w:pPr>
              <w:pStyle w:val="Textkrper"/>
              <w:jc w:val="center"/>
            </w:pPr>
            <w:r>
              <w:t>2025-2026</w:t>
            </w:r>
          </w:p>
          <w:p>
            <w:pPr>
              <w:pStyle w:val="Textkrper"/>
              <w:jc w:val="center"/>
            </w:pPr>
            <w:r>
              <w:t>Bei Nutzung der optionalen Verlängerung aus 2024-2025</w:t>
            </w:r>
          </w:p>
        </w:tc>
        <w:tc>
          <w:tcPr>
            <w:tcW w:w="3020" w:type="dxa"/>
          </w:tcPr>
          <w:p>
            <w:pPr>
              <w:pStyle w:val="Textkrper"/>
              <w:jc w:val="left"/>
            </w:pPr>
            <w:r>
              <w:t>Gesamtwert an Abrufbestellungen inkl. Montage und Installation: 100.000,00 €</w:t>
            </w:r>
          </w:p>
          <w:p>
            <w:pPr>
              <w:pStyle w:val="Textkrper"/>
              <w:jc w:val="left"/>
            </w:pPr>
          </w:p>
        </w:tc>
        <w:tc>
          <w:tcPr>
            <w:tcW w:w="3021" w:type="dxa"/>
          </w:tcPr>
          <w:p>
            <w:pPr>
              <w:pStyle w:val="Textkrper"/>
              <w:jc w:val="left"/>
            </w:pPr>
            <w:r>
              <w:t>Gesamtwert an Abrufbestellungen inkl. Montage und Installation: 500.000,00 €</w:t>
            </w:r>
          </w:p>
          <w:p>
            <w:pPr>
              <w:pStyle w:val="Textkrper"/>
              <w:jc w:val="left"/>
            </w:pPr>
          </w:p>
        </w:tc>
      </w:tr>
      <w:tr>
        <w:tc>
          <w:tcPr>
            <w:tcW w:w="3020" w:type="dxa"/>
          </w:tcPr>
          <w:p>
            <w:pPr>
              <w:pStyle w:val="Textkrper"/>
              <w:jc w:val="right"/>
            </w:pPr>
            <w:r>
              <w:t xml:space="preserve">Gesamt: </w:t>
            </w:r>
          </w:p>
        </w:tc>
        <w:tc>
          <w:tcPr>
            <w:tcW w:w="3020" w:type="dxa"/>
          </w:tcPr>
          <w:p>
            <w:pPr>
              <w:pStyle w:val="Textkrper"/>
              <w:jc w:val="right"/>
              <w:rPr>
                <w:b/>
              </w:rPr>
            </w:pPr>
            <w:r>
              <w:rPr>
                <w:b/>
              </w:rPr>
              <w:t>800.000,00 €</w:t>
            </w:r>
          </w:p>
        </w:tc>
        <w:tc>
          <w:tcPr>
            <w:tcW w:w="3021" w:type="dxa"/>
          </w:tcPr>
          <w:p>
            <w:pPr>
              <w:pStyle w:val="Textkrper"/>
              <w:jc w:val="right"/>
              <w:rPr>
                <w:b/>
              </w:rPr>
            </w:pPr>
            <w:r>
              <w:rPr>
                <w:b/>
              </w:rPr>
              <w:t>4.000.000,00 €</w:t>
            </w:r>
          </w:p>
        </w:tc>
      </w:tr>
    </w:tbl>
    <w:p>
      <w:pPr>
        <w:pStyle w:val="Textkrper"/>
        <w:jc w:val="left"/>
      </w:pPr>
    </w:p>
    <w:p>
      <w:pPr>
        <w:spacing w:line="360" w:lineRule="auto"/>
      </w:pPr>
    </w:p>
    <w:p>
      <w:pPr>
        <w:spacing w:line="360" w:lineRule="auto"/>
        <w:jc w:val="both"/>
      </w:pPr>
      <w:r>
        <w:t>Bestandteil des Leistungsverzeichnisses ist diese Anlage und die anliegend beigefügten Anlagen LV-Ausschlusskriterien (A-Kriterien) und LV-</w:t>
      </w:r>
      <w:proofErr w:type="spellStart"/>
      <w:r>
        <w:t>Bepreisung</w:t>
      </w:r>
      <w:proofErr w:type="spellEnd"/>
      <w:r>
        <w:t>.</w:t>
      </w:r>
    </w:p>
    <w:p>
      <w:pPr>
        <w:spacing w:line="360" w:lineRule="auto"/>
      </w:pPr>
    </w:p>
    <w:p>
      <w:pPr>
        <w:spacing w:line="360" w:lineRule="auto"/>
      </w:pPr>
    </w:p>
    <w:p>
      <w:pPr>
        <w:spacing w:line="360" w:lineRule="auto"/>
        <w:rPr>
          <w:b/>
        </w:rPr>
      </w:pPr>
      <w:r>
        <w:rPr>
          <w:b/>
        </w:rPr>
        <w:br w:type="page"/>
      </w:r>
    </w:p>
    <w:p>
      <w:pPr>
        <w:spacing w:line="360" w:lineRule="auto"/>
        <w:ind w:left="360"/>
        <w:rPr>
          <w:b/>
        </w:rPr>
      </w:pPr>
    </w:p>
    <w:p>
      <w:pPr>
        <w:spacing w:line="360" w:lineRule="auto"/>
        <w:jc w:val="both"/>
        <w:rPr>
          <w:b/>
        </w:rPr>
      </w:pPr>
      <w:r>
        <w:rPr>
          <w:b/>
        </w:rPr>
        <w:t>Ergänzende Vereinbarung zu Nr. 4.2.3 (Lizenzbedingungen):</w:t>
      </w:r>
    </w:p>
    <w:p>
      <w:pPr>
        <w:spacing w:line="360" w:lineRule="auto"/>
        <w:jc w:val="both"/>
        <w:rPr>
          <w:b/>
        </w:rPr>
      </w:pPr>
    </w:p>
    <w:p>
      <w:pPr>
        <w:spacing w:line="360" w:lineRule="auto"/>
        <w:jc w:val="both"/>
      </w:pPr>
      <w:r>
        <w:t>Für den Betrieb der interaktiven Displays stellt der Bieter eine geeignete Device-Management-Software und eine Whiteboard-Software zur Verfügung. Die Lizensierung der Device-Management-Software erfolgt gerätebasiert. Die Lizensierung der Whiteboard-Software erfolgt entweder User-basiert oder Geräte-basiert. Weitere Angaben sind hierzu im LV A-Kriterien in den Kapiteln 4 und 5 unter den jeweiligen Bemerkungen aufgeführt.</w:t>
      </w:r>
    </w:p>
    <w:p>
      <w:pPr>
        <w:spacing w:line="360" w:lineRule="auto"/>
        <w:jc w:val="both"/>
      </w:pPr>
    </w:p>
    <w:p>
      <w:pPr>
        <w:spacing w:line="360" w:lineRule="auto"/>
        <w:jc w:val="both"/>
      </w:pPr>
      <w:r>
        <w:t>Für den Betrieb der Device-Management-Software und der Whiteboard-Software gilt die Regelung lt. Ziffer 2.2 der EVB-IT Systemlieferungs-AGB. Es gelten darüber hinaus die Lizenzbedingungen des jeweiligen Herstellers (EULA). Die EULA des jeweiligen Herstellers wird Vertragsbestandteil.</w:t>
      </w:r>
    </w:p>
    <w:p>
      <w:pPr>
        <w:spacing w:line="360" w:lineRule="auto"/>
        <w:rPr>
          <w:b/>
        </w:rPr>
      </w:pPr>
    </w:p>
    <w:p>
      <w:pPr>
        <w:spacing w:line="360" w:lineRule="auto"/>
        <w:jc w:val="both"/>
        <w:rPr>
          <w:b/>
        </w:rPr>
      </w:pPr>
      <w:r>
        <w:rPr>
          <w:b/>
        </w:rPr>
        <w:t>Ergänzende Vereinbarung zu Nr. 6.1 Art und Umfang der Dokumentation:</w:t>
      </w:r>
    </w:p>
    <w:p>
      <w:pPr>
        <w:spacing w:line="360" w:lineRule="auto"/>
        <w:jc w:val="both"/>
        <w:rPr>
          <w:b/>
        </w:rPr>
      </w:pPr>
    </w:p>
    <w:p>
      <w:pPr>
        <w:spacing w:line="360" w:lineRule="auto"/>
        <w:jc w:val="both"/>
      </w:pPr>
      <w:r>
        <w:t>Der Bieter stellt eine webbasierte Kurzfassung über den Inhalt der wesentlichen Hard-und Softwarefunktionen für den Betrieb der interaktiven Displays; der Betriebssoftware und der MDM-Lösung in Deutsch oder Englisch bereit. Diese Dokumentation wird ohne Aufpreis bereitgestellt.</w:t>
      </w:r>
    </w:p>
    <w:p>
      <w:pPr>
        <w:spacing w:line="360" w:lineRule="auto"/>
        <w:jc w:val="both"/>
        <w:rPr>
          <w:b/>
        </w:rPr>
      </w:pPr>
    </w:p>
    <w:p>
      <w:pPr>
        <w:spacing w:line="360" w:lineRule="auto"/>
        <w:jc w:val="both"/>
        <w:rPr>
          <w:b/>
        </w:rPr>
      </w:pPr>
      <w:r>
        <w:rPr>
          <w:b/>
        </w:rPr>
        <w:t>Ergänzende Beschreibung zu Nr. 7.1 ff. Systemserviceleistungen (Pflegeleistungen)</w:t>
      </w:r>
    </w:p>
    <w:p>
      <w:pPr>
        <w:spacing w:line="360" w:lineRule="auto"/>
        <w:jc w:val="both"/>
        <w:rPr>
          <w:b/>
        </w:rPr>
      </w:pPr>
    </w:p>
    <w:p>
      <w:pPr>
        <w:spacing w:line="360" w:lineRule="auto"/>
        <w:jc w:val="both"/>
        <w:rPr>
          <w:rStyle w:val="Hervorhebung"/>
        </w:rPr>
      </w:pPr>
      <w:r>
        <w:rPr>
          <w:rStyle w:val="Hervorhebung"/>
          <w:u w:val="single"/>
        </w:rPr>
        <w:t>Festlegung des Supportumfangs:</w:t>
      </w:r>
    </w:p>
    <w:p>
      <w:pPr>
        <w:spacing w:line="360" w:lineRule="auto"/>
        <w:jc w:val="both"/>
        <w:rPr>
          <w:rStyle w:val="Hervorhebung"/>
        </w:rPr>
      </w:pPr>
      <w:r>
        <w:rPr>
          <w:rStyle w:val="Hervorhebung"/>
        </w:rPr>
        <w:t>Der Systemservice pro Screen beginnt mit dem jeweiligen Kaufdatum. Die Berechnung des Systemservice (Pflegeleistungen) erfolgt pro Screen jährlich im Voraus.</w:t>
      </w:r>
    </w:p>
    <w:p>
      <w:pPr>
        <w:spacing w:line="360" w:lineRule="auto"/>
        <w:jc w:val="both"/>
        <w:rPr>
          <w:rStyle w:val="Hervorhebung"/>
        </w:rPr>
      </w:pPr>
    </w:p>
    <w:p>
      <w:pPr>
        <w:spacing w:line="360" w:lineRule="auto"/>
        <w:jc w:val="both"/>
        <w:rPr>
          <w:rStyle w:val="Hervorhebung"/>
        </w:rPr>
      </w:pPr>
      <w:r>
        <w:rPr>
          <w:rStyle w:val="Hervorhebung"/>
        </w:rPr>
        <w:t xml:space="preserve">Der Bieter wird als Pflegeleistung neue und verbesserte Programmstände in Form von Patches und Updates sowie in Form von Upgrades und Releases per Download auf der eigenen Website, alternativ auf der Homepage des angebotenen Herstellers oder per automatisierten OTA bereitstellen. Mit zur Pflegeleistung gehört insbesondere die Bereitstellung von </w:t>
      </w:r>
      <w:proofErr w:type="spellStart"/>
      <w:r>
        <w:rPr>
          <w:rStyle w:val="Hervorhebung"/>
        </w:rPr>
        <w:t>Sicherheitspatches</w:t>
      </w:r>
      <w:proofErr w:type="spellEnd"/>
      <w:r>
        <w:rPr>
          <w:rStyle w:val="Hervorhebung"/>
        </w:rPr>
        <w:t>.</w:t>
      </w:r>
    </w:p>
    <w:p>
      <w:pPr>
        <w:spacing w:line="360" w:lineRule="auto"/>
        <w:jc w:val="both"/>
        <w:rPr>
          <w:rStyle w:val="Hervorhebung"/>
        </w:rPr>
      </w:pPr>
    </w:p>
    <w:p>
      <w:pPr>
        <w:spacing w:line="360" w:lineRule="auto"/>
        <w:jc w:val="both"/>
        <w:rPr>
          <w:rStyle w:val="Hervorhebung"/>
        </w:rPr>
      </w:pPr>
    </w:p>
    <w:p>
      <w:pPr>
        <w:spacing w:line="360" w:lineRule="auto"/>
        <w:jc w:val="both"/>
        <w:rPr>
          <w:rStyle w:val="Hervorhebung"/>
        </w:rPr>
      </w:pPr>
      <w:bookmarkStart w:id="0" w:name="_GoBack"/>
      <w:bookmarkEnd w:id="0"/>
    </w:p>
    <w:p>
      <w:pPr>
        <w:spacing w:line="360" w:lineRule="auto"/>
        <w:rPr>
          <w:rStyle w:val="Hervorhebung"/>
        </w:rPr>
      </w:pPr>
      <w:r>
        <w:rPr>
          <w:rStyle w:val="Hervorhebung"/>
          <w:b/>
          <w:highlight w:val="yellow"/>
        </w:rPr>
        <w:lastRenderedPageBreak/>
        <w:t xml:space="preserve"> (Bitte vom Bieter auszufüllen):</w:t>
      </w:r>
    </w:p>
    <w:tbl>
      <w:tblPr>
        <w:tblStyle w:val="Tabellenraster"/>
        <w:tblW w:w="0" w:type="auto"/>
        <w:tblLook w:val="04A0" w:firstRow="1" w:lastRow="0" w:firstColumn="1" w:lastColumn="0" w:noHBand="0" w:noVBand="1"/>
      </w:tblPr>
      <w:tblGrid>
        <w:gridCol w:w="3369"/>
        <w:gridCol w:w="3543"/>
      </w:tblGrid>
      <w:tr>
        <w:tc>
          <w:tcPr>
            <w:tcW w:w="3369" w:type="dxa"/>
          </w:tcPr>
          <w:p>
            <w:pPr>
              <w:spacing w:line="360" w:lineRule="auto"/>
              <w:rPr>
                <w:rStyle w:val="Hervorhebung"/>
                <w:b/>
              </w:rPr>
            </w:pPr>
            <w:r>
              <w:rPr>
                <w:rStyle w:val="Hervorhebung"/>
                <w:b/>
              </w:rPr>
              <w:t xml:space="preserve"> Störungsmeldungen</w:t>
            </w:r>
          </w:p>
        </w:tc>
        <w:tc>
          <w:tcPr>
            <w:tcW w:w="3543" w:type="dxa"/>
          </w:tcPr>
          <w:p>
            <w:pPr>
              <w:spacing w:line="360" w:lineRule="auto"/>
              <w:rPr>
                <w:rStyle w:val="Hervorhebung"/>
                <w:b/>
              </w:rPr>
            </w:pPr>
            <w:r>
              <w:rPr>
                <w:rStyle w:val="Hervorhebung"/>
                <w:b/>
              </w:rPr>
              <w:t>Adresse für Störungsmeldungen</w:t>
            </w:r>
          </w:p>
        </w:tc>
      </w:tr>
      <w:tr>
        <w:tc>
          <w:tcPr>
            <w:tcW w:w="3369" w:type="dxa"/>
          </w:tcPr>
          <w:p>
            <w:pPr>
              <w:spacing w:line="360" w:lineRule="auto"/>
              <w:rPr>
                <w:rStyle w:val="Hervorhebung"/>
              </w:rPr>
            </w:pPr>
            <w:r>
              <w:rPr>
                <w:rStyle w:val="Hervorhebung"/>
              </w:rPr>
              <w:t xml:space="preserve">E-Mail: </w:t>
            </w:r>
          </w:p>
        </w:tc>
        <w:tc>
          <w:tcPr>
            <w:tcW w:w="3543" w:type="dxa"/>
          </w:tcPr>
          <w:p>
            <w:pPr>
              <w:spacing w:line="360" w:lineRule="auto"/>
              <w:rPr>
                <w:rStyle w:val="Hervorhebung"/>
              </w:rPr>
            </w:pPr>
            <w:r>
              <w:rPr>
                <w:rStyle w:val="Hervorhebung"/>
              </w:rPr>
              <w:t xml:space="preserve"> </w:t>
            </w:r>
          </w:p>
        </w:tc>
      </w:tr>
      <w:tr>
        <w:tc>
          <w:tcPr>
            <w:tcW w:w="3369" w:type="dxa"/>
          </w:tcPr>
          <w:p>
            <w:pPr>
              <w:spacing w:line="360" w:lineRule="auto"/>
              <w:rPr>
                <w:rStyle w:val="Hervorhebung"/>
              </w:rPr>
            </w:pPr>
            <w:r>
              <w:rPr>
                <w:rStyle w:val="Hervorhebung"/>
              </w:rPr>
              <w:t>Hotline</w:t>
            </w:r>
          </w:p>
        </w:tc>
        <w:tc>
          <w:tcPr>
            <w:tcW w:w="3543" w:type="dxa"/>
          </w:tcPr>
          <w:p>
            <w:pPr>
              <w:spacing w:line="360" w:lineRule="auto"/>
              <w:rPr>
                <w:rStyle w:val="Hervorhebung"/>
              </w:rPr>
            </w:pPr>
            <w:r>
              <w:rPr>
                <w:rStyle w:val="Hervorhebung"/>
              </w:rPr>
              <w:t xml:space="preserve">+49 </w:t>
            </w:r>
          </w:p>
        </w:tc>
      </w:tr>
    </w:tbl>
    <w:p>
      <w:pPr>
        <w:spacing w:line="360" w:lineRule="auto"/>
        <w:jc w:val="both"/>
      </w:pPr>
    </w:p>
    <w:p>
      <w:pPr>
        <w:spacing w:line="360" w:lineRule="auto"/>
        <w:jc w:val="both"/>
      </w:pPr>
      <w:r>
        <w:t>Softwarefehler werden mit der nächsten Bereitstellung von Releases bzw. von Updates bereinigt. Darüber hinaus gehende Pflegeleistungen werden auf der Grundlage der nachfolgend aufgeführten sonstigen Vereinbarungen beauftragt.</w:t>
      </w:r>
    </w:p>
    <w:p>
      <w:pPr>
        <w:spacing w:line="360" w:lineRule="auto"/>
        <w:jc w:val="both"/>
      </w:pPr>
    </w:p>
    <w:p>
      <w:pPr>
        <w:spacing w:line="360" w:lineRule="auto"/>
        <w:jc w:val="both"/>
        <w:rPr>
          <w:b/>
        </w:rPr>
      </w:pPr>
      <w:r>
        <w:rPr>
          <w:b/>
        </w:rPr>
        <w:t>Ergänzende Beschreibung zu Nr. 8.4.2 Reisezeiten</w:t>
      </w:r>
    </w:p>
    <w:p>
      <w:pPr>
        <w:spacing w:line="360" w:lineRule="auto"/>
        <w:jc w:val="both"/>
        <w:rPr>
          <w:b/>
        </w:rPr>
      </w:pPr>
    </w:p>
    <w:p>
      <w:pPr>
        <w:spacing w:line="360" w:lineRule="auto"/>
        <w:jc w:val="both"/>
      </w:pPr>
      <w:r>
        <w:t>Die Auslieferung und Montage von interaktiven Displays erfolgt auf der Grundlage der Anlage LV-</w:t>
      </w:r>
      <w:proofErr w:type="spellStart"/>
      <w:r>
        <w:t>Bepreisung</w:t>
      </w:r>
      <w:proofErr w:type="spellEnd"/>
      <w:r>
        <w:t>. Als Reisezeit wird die Fahrtzeit der einfachen Entfernung zwischen dem Standort des Bieters (z.B. Servicestützpunkt, etc.) und dem jeweiligen Schulstandort festgelegt. Diese Fahrtzeit ist im Montagepreis enthalten.</w:t>
      </w:r>
    </w:p>
    <w:p>
      <w:pPr>
        <w:spacing w:line="360" w:lineRule="auto"/>
        <w:jc w:val="both"/>
      </w:pPr>
    </w:p>
    <w:p>
      <w:pPr>
        <w:spacing w:line="360" w:lineRule="auto"/>
        <w:jc w:val="both"/>
      </w:pPr>
      <w:r>
        <w:t>Bei mehreren Anfahrten zu einem Schulstandort, die darauf zurückzuführen sind, dass ein Ansprechpartner vor Ort am betreffenden Standort nicht erreichbar war bzw. das Gebäude verschlossen war und nicht betreten werden konnte, sind nicht im Montagepreis enthalten. Derartige Fahrtzeiten sind der Auftraggeberin als Beleg vorzulegen. Diese Belege müssen von der Auftraggeberin für die Abrechnung quittiert werden. Nicht quittierte Belege gelangen nicht zur Abrechnung.</w:t>
      </w:r>
    </w:p>
    <w:p>
      <w:pPr>
        <w:spacing w:line="360" w:lineRule="auto"/>
        <w:jc w:val="both"/>
        <w:rPr>
          <w:b/>
        </w:rPr>
      </w:pPr>
    </w:p>
    <w:p>
      <w:pPr>
        <w:spacing w:line="360" w:lineRule="auto"/>
        <w:jc w:val="both"/>
        <w:rPr>
          <w:b/>
        </w:rPr>
      </w:pPr>
      <w:r>
        <w:rPr>
          <w:b/>
        </w:rPr>
        <w:t>Ergänzende Beschreibung zu Nr. 14 Mitwirkung der Auftraggeberin</w:t>
      </w:r>
    </w:p>
    <w:p>
      <w:pPr>
        <w:spacing w:line="360" w:lineRule="auto"/>
        <w:jc w:val="both"/>
        <w:rPr>
          <w:rStyle w:val="Hervorhebung"/>
          <w:u w:val="single"/>
        </w:rPr>
      </w:pPr>
    </w:p>
    <w:p>
      <w:pPr>
        <w:spacing w:line="360" w:lineRule="auto"/>
        <w:jc w:val="both"/>
        <w:rPr>
          <w:rStyle w:val="Hervorhebung"/>
          <w:iCs/>
          <w:u w:val="single"/>
        </w:rPr>
      </w:pPr>
      <w:r>
        <w:rPr>
          <w:rStyle w:val="Hervorhebung"/>
          <w:u w:val="single"/>
        </w:rPr>
        <w:t>Ansprechpartner der Auftraggeberin:</w:t>
      </w:r>
    </w:p>
    <w:p>
      <w:pPr>
        <w:spacing w:line="360" w:lineRule="auto"/>
        <w:jc w:val="both"/>
        <w:rPr>
          <w:rStyle w:val="Hervorhebung"/>
        </w:rPr>
      </w:pPr>
      <w:r>
        <w:rPr>
          <w:rStyle w:val="Hervorhebung"/>
        </w:rPr>
        <w:t xml:space="preserve">Nachfolgender Ansprechpartner steht bei der Auftraggeberin für die Mitwirkung bei der Lieferung und Installation der interaktiven Displays sowie für die technische Bearbeitung von Störungsmeldungen im Rahmen der vereinbarten Garantie-und Systemserviceleistungen zur Verfügung. Der nachfolgende Personenkreis ist </w:t>
      </w:r>
      <w:r>
        <w:rPr>
          <w:rStyle w:val="Hervorhebung"/>
          <w:b/>
        </w:rPr>
        <w:t>ausschließlich autorisiert</w:t>
      </w:r>
      <w:r>
        <w:rPr>
          <w:rStyle w:val="Hervorhebung"/>
        </w:rPr>
        <w:t>, qualifizierte Fehlermeldungen an den Bieter weiterzuleiten.</w:t>
      </w:r>
    </w:p>
    <w:p>
      <w:pPr>
        <w:spacing w:line="360" w:lineRule="auto"/>
        <w:jc w:val="both"/>
        <w:rPr>
          <w:rStyle w:val="Hervorhebung"/>
          <w:i/>
          <w:iCs/>
        </w:rPr>
      </w:pPr>
    </w:p>
    <w:tbl>
      <w:tblPr>
        <w:tblStyle w:val="Tabellenraster"/>
        <w:tblW w:w="0" w:type="auto"/>
        <w:tblInd w:w="-5" w:type="dxa"/>
        <w:tblLook w:val="04A0" w:firstRow="1" w:lastRow="0" w:firstColumn="1" w:lastColumn="0" w:noHBand="0" w:noVBand="1"/>
      </w:tblPr>
      <w:tblGrid>
        <w:gridCol w:w="4455"/>
        <w:gridCol w:w="4246"/>
      </w:tblGrid>
      <w:tr>
        <w:tc>
          <w:tcPr>
            <w:tcW w:w="4455" w:type="dxa"/>
          </w:tcPr>
          <w:p>
            <w:pPr>
              <w:spacing w:line="360" w:lineRule="auto"/>
              <w:rPr>
                <w:rFonts w:cs="Arial"/>
                <w:b/>
                <w:shd w:val="clear" w:color="auto" w:fill="FAFAFA"/>
              </w:rPr>
            </w:pPr>
            <w:r>
              <w:rPr>
                <w:rFonts w:cs="Arial"/>
                <w:b/>
                <w:shd w:val="clear" w:color="auto" w:fill="FAFAFA"/>
              </w:rPr>
              <w:t>Ansprechpartner</w:t>
            </w:r>
          </w:p>
        </w:tc>
        <w:tc>
          <w:tcPr>
            <w:tcW w:w="4246" w:type="dxa"/>
          </w:tcPr>
          <w:p>
            <w:pPr>
              <w:spacing w:line="360" w:lineRule="auto"/>
              <w:rPr>
                <w:rStyle w:val="Hervorhebung"/>
                <w:b/>
                <w:iCs/>
              </w:rPr>
            </w:pPr>
            <w:r>
              <w:rPr>
                <w:rStyle w:val="Hervorhebung"/>
                <w:b/>
                <w:iCs/>
              </w:rPr>
              <w:t xml:space="preserve">Funktion </w:t>
            </w:r>
          </w:p>
        </w:tc>
      </w:tr>
      <w:tr>
        <w:tc>
          <w:tcPr>
            <w:tcW w:w="4455" w:type="dxa"/>
          </w:tcPr>
          <w:p>
            <w:r>
              <w:t>Stefan Wilp</w:t>
            </w:r>
          </w:p>
          <w:p>
            <w:r>
              <w:t>Tel.: 0208 455-6916/015172854324</w:t>
            </w:r>
          </w:p>
          <w:p>
            <w:r>
              <w:lastRenderedPageBreak/>
              <w:t>Fax: 0208 455-58-6916</w:t>
            </w:r>
          </w:p>
          <w:p>
            <w:pPr>
              <w:rPr>
                <w:rFonts w:cs="Arial"/>
                <w:shd w:val="clear" w:color="auto" w:fill="FAFAFA"/>
              </w:rPr>
            </w:pPr>
            <w:r>
              <w:t>E-Mail: stefan.wilp@muelheim-ruhr.de</w:t>
            </w:r>
          </w:p>
        </w:tc>
        <w:tc>
          <w:tcPr>
            <w:tcW w:w="4246" w:type="dxa"/>
          </w:tcPr>
          <w:p>
            <w:pPr>
              <w:spacing w:line="360" w:lineRule="auto"/>
              <w:rPr>
                <w:rStyle w:val="Hervorhebung"/>
                <w:b/>
                <w:iCs/>
              </w:rPr>
            </w:pPr>
            <w:r>
              <w:rPr>
                <w:rFonts w:cs="Arial"/>
                <w:shd w:val="clear" w:color="auto" w:fill="FAFAFA"/>
              </w:rPr>
              <w:lastRenderedPageBreak/>
              <w:t>Technische Koordination Schul-IT</w:t>
            </w:r>
          </w:p>
        </w:tc>
      </w:tr>
    </w:tbl>
    <w:p>
      <w:pPr>
        <w:spacing w:line="360" w:lineRule="auto"/>
        <w:rPr>
          <w:rStyle w:val="Hervorhebung"/>
          <w:b/>
          <w:highlight w:val="yellow"/>
        </w:rPr>
      </w:pPr>
    </w:p>
    <w:p>
      <w:pPr>
        <w:spacing w:line="360" w:lineRule="auto"/>
        <w:jc w:val="both"/>
      </w:pPr>
      <w:r>
        <w:rPr>
          <w:rStyle w:val="Hervorhebung"/>
          <w:b/>
          <w:highlight w:val="yellow"/>
        </w:rPr>
        <w:t>(Bitte vom Bieter auszufüllen):</w:t>
      </w:r>
    </w:p>
    <w:tbl>
      <w:tblPr>
        <w:tblStyle w:val="Tabellenraster"/>
        <w:tblW w:w="0" w:type="auto"/>
        <w:tblInd w:w="-5" w:type="dxa"/>
        <w:tblLook w:val="04A0" w:firstRow="1" w:lastRow="0" w:firstColumn="1" w:lastColumn="0" w:noHBand="0" w:noVBand="1"/>
      </w:tblPr>
      <w:tblGrid>
        <w:gridCol w:w="3292"/>
        <w:gridCol w:w="3969"/>
      </w:tblGrid>
      <w:tr>
        <w:tc>
          <w:tcPr>
            <w:tcW w:w="3292" w:type="dxa"/>
          </w:tcPr>
          <w:p>
            <w:pPr>
              <w:spacing w:line="360" w:lineRule="auto"/>
              <w:rPr>
                <w:rStyle w:val="Hervorhebung"/>
                <w:b/>
                <w:i/>
                <w:iCs/>
              </w:rPr>
            </w:pPr>
            <w:r>
              <w:rPr>
                <w:rStyle w:val="Hervorhebung"/>
                <w:b/>
              </w:rPr>
              <w:t>Ansprechpartner</w:t>
            </w:r>
          </w:p>
        </w:tc>
        <w:tc>
          <w:tcPr>
            <w:tcW w:w="3969" w:type="dxa"/>
          </w:tcPr>
          <w:p>
            <w:pPr>
              <w:spacing w:line="360" w:lineRule="auto"/>
              <w:rPr>
                <w:rStyle w:val="Hervorhebung"/>
                <w:b/>
                <w:i/>
                <w:iCs/>
              </w:rPr>
            </w:pPr>
            <w:r>
              <w:rPr>
                <w:rStyle w:val="Hervorhebung"/>
                <w:b/>
              </w:rPr>
              <w:t xml:space="preserve">Funktion: </w:t>
            </w:r>
          </w:p>
        </w:tc>
      </w:tr>
      <w:tr>
        <w:tc>
          <w:tcPr>
            <w:tcW w:w="3292" w:type="dxa"/>
          </w:tcPr>
          <w:p>
            <w:pPr>
              <w:spacing w:line="360" w:lineRule="auto"/>
              <w:rPr>
                <w:rStyle w:val="Hervorhebung"/>
                <w:i/>
                <w:iCs/>
              </w:rPr>
            </w:pPr>
          </w:p>
          <w:p>
            <w:pPr>
              <w:spacing w:line="360" w:lineRule="auto"/>
              <w:rPr>
                <w:rStyle w:val="Hervorhebung"/>
                <w:i/>
                <w:iCs/>
              </w:rPr>
            </w:pPr>
          </w:p>
        </w:tc>
        <w:tc>
          <w:tcPr>
            <w:tcW w:w="3969" w:type="dxa"/>
          </w:tcPr>
          <w:p>
            <w:pPr>
              <w:spacing w:line="360" w:lineRule="auto"/>
              <w:rPr>
                <w:rStyle w:val="Hervorhebung"/>
                <w:iCs/>
              </w:rPr>
            </w:pPr>
            <w:r>
              <w:rPr>
                <w:rStyle w:val="Hervorhebung"/>
                <w:iCs/>
              </w:rPr>
              <w:t xml:space="preserve">Vertrieblicher Ansprechpartner </w:t>
            </w:r>
          </w:p>
        </w:tc>
      </w:tr>
      <w:tr>
        <w:tc>
          <w:tcPr>
            <w:tcW w:w="3292" w:type="dxa"/>
          </w:tcPr>
          <w:p>
            <w:pPr>
              <w:spacing w:line="360" w:lineRule="auto"/>
              <w:rPr>
                <w:rStyle w:val="Hervorhebung"/>
                <w:i/>
                <w:iCs/>
              </w:rPr>
            </w:pPr>
          </w:p>
        </w:tc>
        <w:tc>
          <w:tcPr>
            <w:tcW w:w="3969" w:type="dxa"/>
          </w:tcPr>
          <w:p>
            <w:pPr>
              <w:spacing w:line="360" w:lineRule="auto"/>
              <w:rPr>
                <w:rStyle w:val="Hervorhebung"/>
                <w:iCs/>
              </w:rPr>
            </w:pPr>
            <w:r>
              <w:rPr>
                <w:rStyle w:val="Hervorhebung"/>
                <w:iCs/>
              </w:rPr>
              <w:t xml:space="preserve">Technischer Ansprechpartner </w:t>
            </w:r>
          </w:p>
        </w:tc>
      </w:tr>
    </w:tbl>
    <w:p>
      <w:pPr>
        <w:pStyle w:val="NurText"/>
        <w:spacing w:line="360" w:lineRule="auto"/>
        <w:rPr>
          <w:b/>
        </w:rPr>
      </w:pPr>
    </w:p>
    <w:p>
      <w:pPr>
        <w:pStyle w:val="NurText"/>
        <w:spacing w:line="360" w:lineRule="auto"/>
        <w:jc w:val="both"/>
        <w:rPr>
          <w:b/>
        </w:rPr>
      </w:pPr>
      <w:r>
        <w:rPr>
          <w:b/>
        </w:rPr>
        <w:t>Ergänzende Vereinbarung zu Nr. 19.2.2 (Herstellergarantien)</w:t>
      </w:r>
    </w:p>
    <w:p>
      <w:pPr>
        <w:pStyle w:val="NurText"/>
        <w:spacing w:line="360" w:lineRule="auto"/>
        <w:jc w:val="both"/>
        <w:rPr>
          <w:b/>
        </w:rPr>
      </w:pPr>
    </w:p>
    <w:p>
      <w:pPr>
        <w:pStyle w:val="BBBodyTextIndent1"/>
        <w:spacing w:line="360" w:lineRule="auto"/>
        <w:ind w:left="0"/>
        <w:rPr>
          <w:rFonts w:ascii="Verdana" w:hAnsi="Verdana"/>
          <w:sz w:val="20"/>
          <w:lang w:val="de-DE"/>
        </w:rPr>
      </w:pPr>
      <w:r>
        <w:rPr>
          <w:rFonts w:ascii="Verdana" w:hAnsi="Verdana"/>
          <w:sz w:val="20"/>
          <w:lang w:val="de-DE"/>
        </w:rPr>
        <w:t>Von der Garantieabwicklung ausgenommen sind folgende, nachweislich durch den Bieter festgestellte Schäden:</w:t>
      </w:r>
    </w:p>
    <w:p>
      <w:pPr>
        <w:pStyle w:val="BBBodyTextIndent1"/>
        <w:numPr>
          <w:ilvl w:val="0"/>
          <w:numId w:val="27"/>
        </w:numPr>
        <w:spacing w:line="360" w:lineRule="auto"/>
        <w:rPr>
          <w:rFonts w:ascii="Verdana" w:hAnsi="Verdana"/>
          <w:sz w:val="20"/>
          <w:lang w:val="de-DE"/>
        </w:rPr>
      </w:pPr>
      <w:r>
        <w:rPr>
          <w:rFonts w:ascii="Verdana" w:hAnsi="Verdana"/>
          <w:sz w:val="20"/>
          <w:lang w:val="de-DE"/>
        </w:rPr>
        <w:t>Beschädigung am Display aufgrund von unsachgemäßer Bedienung, wie z.B. Sturzschäden, etc.</w:t>
      </w:r>
    </w:p>
    <w:p>
      <w:pPr>
        <w:pStyle w:val="BBBodyTextIndent1"/>
        <w:numPr>
          <w:ilvl w:val="0"/>
          <w:numId w:val="27"/>
        </w:numPr>
        <w:spacing w:line="360" w:lineRule="auto"/>
        <w:rPr>
          <w:rFonts w:ascii="Verdana" w:hAnsi="Verdana"/>
          <w:sz w:val="20"/>
          <w:lang w:val="de-DE"/>
        </w:rPr>
      </w:pPr>
      <w:r>
        <w:rPr>
          <w:rFonts w:ascii="Verdana" w:hAnsi="Verdana"/>
          <w:sz w:val="20"/>
          <w:lang w:val="de-DE"/>
        </w:rPr>
        <w:t>Überspannungsschäden wie z.B. Kurzschluss aufgrund eines Kabelbrandes, Blitzeinschlag im Gebäude, etc.</w:t>
      </w:r>
    </w:p>
    <w:p>
      <w:pPr>
        <w:pStyle w:val="BBBodyTextIndent1"/>
        <w:numPr>
          <w:ilvl w:val="0"/>
          <w:numId w:val="27"/>
        </w:numPr>
        <w:spacing w:line="360" w:lineRule="auto"/>
        <w:rPr>
          <w:b/>
          <w:lang w:val="de-DE"/>
        </w:rPr>
      </w:pPr>
      <w:r>
        <w:rPr>
          <w:rFonts w:ascii="Verdana" w:hAnsi="Verdana"/>
          <w:sz w:val="20"/>
          <w:lang w:val="de-DE"/>
        </w:rPr>
        <w:t>Verursachte Beschädigungen der Displays aufgrund von Einbruch und Vandalismus im Schulgebäude.</w:t>
      </w:r>
    </w:p>
    <w:p>
      <w:pPr>
        <w:jc w:val="both"/>
        <w:rPr>
          <w:b/>
        </w:rPr>
      </w:pPr>
      <w:r>
        <w:rPr>
          <w:b/>
        </w:rPr>
        <w:t>Sonstige Vereinbarungen zu Nr. 19.8</w:t>
      </w:r>
    </w:p>
    <w:p>
      <w:pPr>
        <w:pStyle w:val="NurText"/>
        <w:spacing w:line="360" w:lineRule="auto"/>
        <w:jc w:val="both"/>
        <w:rPr>
          <w:b/>
        </w:rPr>
      </w:pPr>
    </w:p>
    <w:p>
      <w:pPr>
        <w:pStyle w:val="NurText"/>
        <w:spacing w:line="360" w:lineRule="auto"/>
        <w:jc w:val="both"/>
      </w:pPr>
      <w:r>
        <w:t>a)</w:t>
      </w:r>
    </w:p>
    <w:p>
      <w:pPr>
        <w:pStyle w:val="NurText"/>
        <w:spacing w:line="360" w:lineRule="auto"/>
        <w:jc w:val="both"/>
      </w:pPr>
      <w:r>
        <w:t>Umgang mit Produktwechsel während der Vertragslaufzeit:</w:t>
      </w:r>
    </w:p>
    <w:p>
      <w:pPr>
        <w:pStyle w:val="BBHeading2"/>
        <w:numPr>
          <w:ilvl w:val="0"/>
          <w:numId w:val="0"/>
        </w:numPr>
        <w:spacing w:line="360" w:lineRule="auto"/>
        <w:rPr>
          <w:rFonts w:ascii="Verdana" w:hAnsi="Verdana"/>
          <w:b w:val="0"/>
          <w:sz w:val="20"/>
        </w:rPr>
      </w:pPr>
      <w:r>
        <w:rPr>
          <w:rFonts w:ascii="Verdana" w:hAnsi="Verdana"/>
          <w:b w:val="0"/>
          <w:sz w:val="20"/>
        </w:rPr>
        <w:t>Falls vom Hersteller im Laufe der Vertragslaufzeit eine der angebotenen Komponenten nicht mehr geliefert werden kann, weil der Hersteller diese eingestellt und ein Nachfolgemodell, das die Anforderungen aus den Vergabeunterlagen, insbesondere der Vorgaben lt. Anlage LV A-Kriterien erfüllt, auf dem Markt eingeführt hat, verpflichtet sich der Bieter einer Vertragsanpassung, über die Aufnahme des Nachfolgemodells in den Rahmenvertrag, zu zustimmen und zu den gleichen Konditionen / Rabatten anzubieten, wie den ersetzten Artikel. Ein Preisvorbehalt besteht für die gesetzliche Mehrwertsteuer.</w:t>
      </w:r>
    </w:p>
    <w:p>
      <w:pPr>
        <w:pStyle w:val="BBHeading2"/>
        <w:numPr>
          <w:ilvl w:val="0"/>
          <w:numId w:val="0"/>
        </w:numPr>
        <w:spacing w:after="0" w:line="360" w:lineRule="auto"/>
        <w:rPr>
          <w:rFonts w:ascii="Verdana" w:hAnsi="Verdana"/>
          <w:b w:val="0"/>
          <w:sz w:val="20"/>
        </w:rPr>
      </w:pPr>
      <w:r>
        <w:rPr>
          <w:rFonts w:ascii="Verdana" w:hAnsi="Verdana"/>
          <w:b w:val="0"/>
          <w:sz w:val="20"/>
        </w:rPr>
        <w:t xml:space="preserve">Bietet der Hersteller kein Nachfolgeprodukt an, oder keins, das den Anforderungen der Vergabeunterlagen, insbesondere den Anforderungen lt. Anlage LV A-Kriterien, gänzlich genügt, so verpflichtet sich der Bieter einer Vertragsanpassung über die Aufnahme eines </w:t>
      </w:r>
      <w:r>
        <w:rPr>
          <w:rFonts w:ascii="Verdana" w:hAnsi="Verdana"/>
          <w:b w:val="0"/>
          <w:sz w:val="20"/>
        </w:rPr>
        <w:lastRenderedPageBreak/>
        <w:t>Ersatzprodukts eines anderen Herstellers, welches die Anforderungen von Anlage A-Kriterien erfüllt, unverzüglich zu zustimmen und zu den gleichen Konditionen / Rabatten anzubieten, wie den ersetzten Artikel.</w:t>
      </w:r>
    </w:p>
    <w:p>
      <w:pPr>
        <w:pStyle w:val="NurText"/>
        <w:spacing w:line="360" w:lineRule="auto"/>
        <w:jc w:val="both"/>
      </w:pPr>
    </w:p>
    <w:p>
      <w:pPr>
        <w:pStyle w:val="NurText"/>
        <w:spacing w:line="360" w:lineRule="auto"/>
        <w:jc w:val="both"/>
      </w:pPr>
      <w:r>
        <w:t>b)</w:t>
      </w:r>
      <w:bookmarkStart w:id="1" w:name="_Toc86336263"/>
      <w:bookmarkStart w:id="2" w:name="_Ref86925803"/>
    </w:p>
    <w:bookmarkEnd w:id="1"/>
    <w:bookmarkEnd w:id="2"/>
    <w:p>
      <w:pPr>
        <w:pStyle w:val="BBBodyTextIndent2"/>
        <w:spacing w:after="0" w:line="360" w:lineRule="auto"/>
        <w:ind w:left="0"/>
        <w:rPr>
          <w:rFonts w:ascii="Verdana" w:hAnsi="Verdana"/>
          <w:sz w:val="20"/>
        </w:rPr>
      </w:pPr>
      <w:r>
        <w:rPr>
          <w:rFonts w:ascii="Verdana" w:hAnsi="Verdana"/>
          <w:sz w:val="20"/>
        </w:rPr>
        <w:t>Regelung zu Preisen, Vergütung, Nebenkosten, Gebühren, Abgaben:</w:t>
      </w:r>
    </w:p>
    <w:p>
      <w:pPr>
        <w:pStyle w:val="BBBodyTextIndent2"/>
        <w:numPr>
          <w:ilvl w:val="0"/>
          <w:numId w:val="27"/>
        </w:numPr>
        <w:spacing w:after="0" w:line="360" w:lineRule="auto"/>
        <w:rPr>
          <w:rFonts w:ascii="Verdana" w:hAnsi="Verdana"/>
          <w:sz w:val="20"/>
        </w:rPr>
      </w:pPr>
      <w:r>
        <w:rPr>
          <w:rFonts w:ascii="Verdana" w:hAnsi="Verdana"/>
          <w:sz w:val="20"/>
        </w:rPr>
        <w:t>Die Preise für die im Verlauf dieser Rahmenvereinbarung erfolgenden Einzelabrufe der Produkte und Dienstleistungen, ergeben sich aus dem beigefügten Leistungsverzeichnis zu dieser Anlage.</w:t>
      </w:r>
    </w:p>
    <w:p>
      <w:pPr>
        <w:pStyle w:val="BBBodyTextIndent2"/>
        <w:numPr>
          <w:ilvl w:val="0"/>
          <w:numId w:val="27"/>
        </w:numPr>
        <w:spacing w:after="0" w:line="360" w:lineRule="auto"/>
        <w:rPr>
          <w:rFonts w:ascii="Verdana" w:hAnsi="Verdana"/>
          <w:sz w:val="20"/>
        </w:rPr>
      </w:pPr>
      <w:r>
        <w:rPr>
          <w:rFonts w:ascii="Verdana" w:hAnsi="Verdana"/>
          <w:sz w:val="20"/>
        </w:rPr>
        <w:t>Die Preise sind Festpreise.</w:t>
      </w:r>
    </w:p>
    <w:p>
      <w:pPr>
        <w:pStyle w:val="BBBodyTextIndent2"/>
        <w:numPr>
          <w:ilvl w:val="0"/>
          <w:numId w:val="27"/>
        </w:numPr>
        <w:spacing w:after="0" w:line="360" w:lineRule="auto"/>
        <w:rPr>
          <w:rFonts w:ascii="Verdana" w:hAnsi="Verdana"/>
          <w:sz w:val="20"/>
        </w:rPr>
      </w:pPr>
      <w:r>
        <w:rPr>
          <w:rFonts w:ascii="Verdana" w:hAnsi="Verdana"/>
          <w:sz w:val="20"/>
        </w:rPr>
        <w:t xml:space="preserve">Wird durch den Hersteller im Rahmen von Promotion-und /oder Werbeaktionen verbesserte Konditionen gewährt, so sind diese an die Auftraggeberin weiterzugeben. </w:t>
      </w:r>
    </w:p>
    <w:p>
      <w:pPr>
        <w:pStyle w:val="BBBodyTextIndent2"/>
        <w:numPr>
          <w:ilvl w:val="0"/>
          <w:numId w:val="27"/>
        </w:numPr>
        <w:spacing w:after="0" w:line="360" w:lineRule="auto"/>
        <w:rPr>
          <w:rFonts w:ascii="Verdana" w:hAnsi="Verdana"/>
          <w:sz w:val="20"/>
        </w:rPr>
      </w:pPr>
      <w:r>
        <w:rPr>
          <w:rFonts w:ascii="Verdana" w:hAnsi="Verdana"/>
          <w:sz w:val="20"/>
        </w:rPr>
        <w:t xml:space="preserve"> Sämtliche Preise sind als Nettopreise (ohne MwSt.) in Euro einschließlich aller Nebenkosten (Reise-und Übernachtungskosten, Spesen, etc.) anzugeben. </w:t>
      </w:r>
    </w:p>
    <w:p>
      <w:pPr>
        <w:pStyle w:val="BBBodyTextIndent2"/>
        <w:numPr>
          <w:ilvl w:val="0"/>
          <w:numId w:val="27"/>
        </w:numPr>
        <w:spacing w:after="0" w:line="360" w:lineRule="auto"/>
        <w:rPr>
          <w:rFonts w:ascii="Verdana" w:hAnsi="Verdana"/>
          <w:sz w:val="20"/>
        </w:rPr>
      </w:pPr>
      <w:r>
        <w:rPr>
          <w:rFonts w:ascii="Verdana" w:hAnsi="Verdana"/>
          <w:sz w:val="20"/>
        </w:rPr>
        <w:t xml:space="preserve">Lieferungen erfolgen auf der Grundlage der in Anlage 3 aufgeführten Lieferungs-und Zahlungsbedingungen der Auftraggeberin. </w:t>
      </w:r>
    </w:p>
    <w:p>
      <w:pPr>
        <w:pStyle w:val="BBBodyTextIndent2"/>
        <w:numPr>
          <w:ilvl w:val="0"/>
          <w:numId w:val="27"/>
        </w:numPr>
        <w:spacing w:after="0" w:line="360" w:lineRule="auto"/>
        <w:rPr>
          <w:rFonts w:ascii="Verdana" w:hAnsi="Verdana"/>
          <w:sz w:val="20"/>
        </w:rPr>
      </w:pPr>
      <w:r>
        <w:rPr>
          <w:rFonts w:ascii="Verdana" w:hAnsi="Verdana"/>
          <w:sz w:val="20"/>
        </w:rPr>
        <w:t>Alle Gebühren, Abgaben und sonstige Kosten, die vom Bieter an Dritte zu zahlen sind, müssen im Angebotspreis enthalten sein.</w:t>
      </w:r>
    </w:p>
    <w:p>
      <w:pPr>
        <w:pStyle w:val="BBBodyTextIndent2"/>
        <w:spacing w:after="0" w:line="360" w:lineRule="auto"/>
        <w:ind w:left="0"/>
        <w:rPr>
          <w:rFonts w:ascii="Verdana" w:hAnsi="Verdana"/>
          <w:sz w:val="20"/>
        </w:rPr>
      </w:pPr>
    </w:p>
    <w:p>
      <w:pPr>
        <w:pStyle w:val="BBBodyTextIndent2"/>
        <w:spacing w:after="0" w:line="360" w:lineRule="auto"/>
        <w:ind w:left="0"/>
        <w:rPr>
          <w:rFonts w:ascii="Verdana" w:hAnsi="Verdana"/>
          <w:sz w:val="20"/>
        </w:rPr>
      </w:pPr>
      <w:r>
        <w:rPr>
          <w:rFonts w:ascii="Verdana" w:hAnsi="Verdana"/>
          <w:sz w:val="20"/>
        </w:rPr>
        <w:t>c)</w:t>
      </w:r>
    </w:p>
    <w:p>
      <w:pPr>
        <w:pStyle w:val="BBBodyTextIndent2"/>
        <w:spacing w:after="0" w:line="360" w:lineRule="auto"/>
        <w:ind w:left="0"/>
        <w:rPr>
          <w:rFonts w:ascii="Verdana" w:hAnsi="Verdana"/>
          <w:sz w:val="20"/>
        </w:rPr>
      </w:pPr>
      <w:r>
        <w:rPr>
          <w:rFonts w:ascii="Verdana" w:hAnsi="Verdana"/>
          <w:sz w:val="20"/>
        </w:rPr>
        <w:t>Preisanpassungen:</w:t>
      </w:r>
    </w:p>
    <w:p>
      <w:pPr>
        <w:pStyle w:val="BBBodyTextIndent2"/>
        <w:numPr>
          <w:ilvl w:val="0"/>
          <w:numId w:val="34"/>
        </w:numPr>
        <w:spacing w:after="0" w:line="360" w:lineRule="auto"/>
        <w:rPr>
          <w:rFonts w:ascii="Verdana" w:hAnsi="Verdana"/>
          <w:sz w:val="20"/>
        </w:rPr>
      </w:pPr>
      <w:r>
        <w:rPr>
          <w:rFonts w:ascii="Verdana" w:hAnsi="Verdana"/>
          <w:sz w:val="20"/>
        </w:rPr>
        <w:t>Preisanpassungen der im Leistungsverzeichnis genannten Festpreise können einvernehmlich bei einer Vertragsverlängerung vereinbart werden. In dem Fall wird der angepasste Preis mit der Verlängerung der Rahmenvereinbarung wirksam. Die Preisanpassung muss angemessen sein und muss sich (soweit für eine Preisposition einschlägig) nachweislich an der Preisentwicklung des Herstellers für die angebotenen Geräte orientieren.</w:t>
      </w:r>
    </w:p>
    <w:p>
      <w:pPr>
        <w:pStyle w:val="BBBodyTextIndent2"/>
        <w:numPr>
          <w:ilvl w:val="0"/>
          <w:numId w:val="34"/>
        </w:numPr>
        <w:spacing w:after="0" w:line="360" w:lineRule="auto"/>
        <w:rPr>
          <w:rFonts w:ascii="Verdana" w:hAnsi="Verdana"/>
          <w:sz w:val="20"/>
        </w:rPr>
      </w:pPr>
      <w:r>
        <w:rPr>
          <w:rFonts w:ascii="Verdana" w:hAnsi="Verdana"/>
          <w:sz w:val="20"/>
        </w:rPr>
        <w:t xml:space="preserve">Abweichend von der vorherigen Regelung können die Vertragsparteien während der Vertragslaufzeit Preisanpassungen nur dann einvernehmlich vereinbaren, wenn sich der Index für Erzeugerpreise lt. dem Statistischen Bundesamt (GP 26 20 16) für Ein-und Ausgabegeräte während des jeweiligen Vertragsjahres in einer Zeitspanne von 6 Monats um mindestens 5% verändert. </w:t>
      </w:r>
    </w:p>
    <w:p>
      <w:pPr>
        <w:pStyle w:val="BBBodyTextIndent2"/>
        <w:numPr>
          <w:ilvl w:val="0"/>
          <w:numId w:val="34"/>
        </w:numPr>
        <w:spacing w:after="0" w:line="360" w:lineRule="auto"/>
        <w:rPr>
          <w:rFonts w:ascii="Verdana" w:hAnsi="Verdana"/>
          <w:sz w:val="20"/>
        </w:rPr>
      </w:pPr>
      <w:r>
        <w:rPr>
          <w:rFonts w:ascii="Verdana" w:hAnsi="Verdana"/>
          <w:sz w:val="20"/>
        </w:rPr>
        <w:t xml:space="preserve">Sofern sich die Vertragsparteien nicht auf eine einvernehmliche Preisanpassung entsprechend der vorherigen Regelungen einigen können, gelten die alten Preis unverändert fort.  </w:t>
      </w:r>
    </w:p>
    <w:p>
      <w:pPr>
        <w:pStyle w:val="BBBodyTextIndent2"/>
        <w:numPr>
          <w:ilvl w:val="0"/>
          <w:numId w:val="34"/>
        </w:numPr>
        <w:spacing w:after="0" w:line="360" w:lineRule="auto"/>
        <w:rPr>
          <w:rFonts w:ascii="Verdana" w:hAnsi="Verdana"/>
          <w:sz w:val="20"/>
        </w:rPr>
      </w:pPr>
      <w:r>
        <w:rPr>
          <w:rFonts w:ascii="Verdana" w:hAnsi="Verdana"/>
          <w:sz w:val="20"/>
        </w:rPr>
        <w:lastRenderedPageBreak/>
        <w:t xml:space="preserve">Preisanpassungen aufgrund des nicht Erreichen der ausgewiesenen Maximalabnahmemengen sind ausgeschlossen. </w:t>
      </w:r>
    </w:p>
    <w:p>
      <w:pPr>
        <w:pStyle w:val="BBBodyTextIndent2"/>
        <w:spacing w:after="0" w:line="360" w:lineRule="auto"/>
        <w:ind w:left="0"/>
        <w:rPr>
          <w:rFonts w:ascii="Verdana" w:hAnsi="Verdana"/>
          <w:sz w:val="20"/>
        </w:rPr>
      </w:pPr>
      <w:r>
        <w:rPr>
          <w:rFonts w:ascii="Verdana" w:hAnsi="Verdana"/>
          <w:sz w:val="20"/>
        </w:rPr>
        <w:t xml:space="preserve"> </w:t>
      </w:r>
    </w:p>
    <w:p>
      <w:pPr>
        <w:pStyle w:val="BBBodyTextIndent2"/>
        <w:spacing w:after="0" w:line="360" w:lineRule="auto"/>
        <w:ind w:left="0"/>
        <w:rPr>
          <w:rFonts w:ascii="Verdana" w:hAnsi="Verdana"/>
          <w:sz w:val="20"/>
        </w:rPr>
      </w:pPr>
      <w:r>
        <w:rPr>
          <w:rFonts w:ascii="Verdana" w:hAnsi="Verdana"/>
          <w:sz w:val="20"/>
        </w:rPr>
        <w:t>d)</w:t>
      </w:r>
    </w:p>
    <w:p>
      <w:pPr>
        <w:pStyle w:val="NurText"/>
        <w:spacing w:line="360" w:lineRule="auto"/>
        <w:jc w:val="both"/>
      </w:pPr>
      <w:r>
        <w:t>Gerichtsstand ist Mülheim an der Ruhr.</w:t>
      </w:r>
    </w:p>
    <w:p>
      <w:pPr>
        <w:pStyle w:val="NurText"/>
        <w:spacing w:line="360" w:lineRule="auto"/>
        <w:jc w:val="both"/>
      </w:pPr>
    </w:p>
    <w:p>
      <w:pPr>
        <w:pStyle w:val="NurText"/>
        <w:spacing w:line="360" w:lineRule="auto"/>
        <w:jc w:val="both"/>
      </w:pPr>
      <w:r>
        <w:t>e)</w:t>
      </w:r>
    </w:p>
    <w:p>
      <w:pPr>
        <w:autoSpaceDE w:val="0"/>
        <w:autoSpaceDN w:val="0"/>
        <w:adjustRightInd w:val="0"/>
        <w:spacing w:line="360" w:lineRule="auto"/>
        <w:jc w:val="both"/>
        <w:rPr>
          <w:rFonts w:cs="Arial"/>
        </w:rPr>
      </w:pPr>
      <w:r>
        <w:t>Sollten Regelungen dieses Vertrages ganz oder teilweise unwirksam sein oder werden, so berührt dies die Wirksamkeit der übrigen Regelungen nicht. Die Vertragsparteien verpflichten sich vielmehr, die unwirksame Regelung durch eine solche zu ersetzen, die dem wirtschaftlich Gewollten am nächsten kommt.</w:t>
      </w:r>
    </w:p>
    <w:sectPr>
      <w:headerReference w:type="default" r:id="rId8"/>
      <w:footerReference w:type="default" r:id="rId9"/>
      <w:pgSz w:w="11907" w:h="16840"/>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rPr>
        <w:sz w:val="16"/>
      </w:rPr>
    </w:pPr>
  </w:p>
  <w:p>
    <w:pPr>
      <w:pStyle w:val="Fuzeile"/>
      <w:rPr>
        <w:sz w:val="16"/>
      </w:rPr>
    </w:pPr>
  </w:p>
  <w:p>
    <w:pPr>
      <w:pStyle w:val="Fuzeile"/>
      <w:rPr>
        <w:sz w:val="16"/>
      </w:rPr>
    </w:pPr>
    <w:r>
      <w:rPr>
        <w:snapToGrid w:val="0"/>
        <w:sz w:val="16"/>
      </w:rPr>
      <w:t xml:space="preserve">Seite </w:t>
    </w:r>
    <w:r>
      <w:rPr>
        <w:snapToGrid w:val="0"/>
        <w:sz w:val="16"/>
      </w:rPr>
      <w:fldChar w:fldCharType="begin"/>
    </w:r>
    <w:r>
      <w:rPr>
        <w:snapToGrid w:val="0"/>
        <w:sz w:val="16"/>
      </w:rPr>
      <w:instrText xml:space="preserve"> PAGE </w:instrText>
    </w:r>
    <w:r>
      <w:rPr>
        <w:snapToGrid w:val="0"/>
        <w:sz w:val="16"/>
      </w:rPr>
      <w:fldChar w:fldCharType="separate"/>
    </w:r>
    <w:r>
      <w:rPr>
        <w:noProof/>
        <w:snapToGrid w:val="0"/>
        <w:sz w:val="16"/>
      </w:rPr>
      <w:t>7</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noProof/>
        <w:snapToGrid w:val="0"/>
        <w:sz w:val="16"/>
      </w:rPr>
      <w:t>7</w:t>
    </w:r>
    <w:r>
      <w:rPr>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b/>
        <w:sz w:val="22"/>
        <w:szCs w:val="22"/>
      </w:rPr>
    </w:pPr>
    <w:r>
      <w:rPr>
        <w:b/>
        <w:sz w:val="22"/>
        <w:szCs w:val="22"/>
      </w:rPr>
      <w:t>Anlage 1</w:t>
    </w:r>
  </w:p>
  <w:p>
    <w:pPr>
      <w:pStyle w:val="Kopfzeile"/>
      <w:rPr>
        <w:b/>
        <w:sz w:val="22"/>
        <w:szCs w:val="22"/>
      </w:rPr>
    </w:pPr>
  </w:p>
  <w:p>
    <w:pPr>
      <w:pStyle w:val="Kopfzeile"/>
      <w:spacing w:line="360" w:lineRule="auto"/>
      <w:rPr>
        <w:b/>
        <w:sz w:val="22"/>
        <w:szCs w:val="22"/>
      </w:rPr>
    </w:pPr>
    <w:r>
      <w:rPr>
        <w:b/>
        <w:sz w:val="22"/>
        <w:szCs w:val="22"/>
      </w:rPr>
      <w:t>zum EVB-IT Systemlieferungsvertrag STADT MH / Interaktive Displays 2025-2027 (000_225)</w:t>
    </w:r>
  </w:p>
  <w:p>
    <w:pPr>
      <w:pStyle w:val="Kopfzeile"/>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EBB"/>
    <w:multiLevelType w:val="singleLevel"/>
    <w:tmpl w:val="04070011"/>
    <w:lvl w:ilvl="0">
      <w:start w:val="5"/>
      <w:numFmt w:val="decimal"/>
      <w:lvlText w:val="%1)"/>
      <w:lvlJc w:val="left"/>
      <w:pPr>
        <w:tabs>
          <w:tab w:val="num" w:pos="360"/>
        </w:tabs>
        <w:ind w:left="360" w:hanging="360"/>
      </w:pPr>
      <w:rPr>
        <w:rFonts w:hint="default"/>
      </w:rPr>
    </w:lvl>
  </w:abstractNum>
  <w:abstractNum w:abstractNumId="1" w15:restartNumberingAfterBreak="0">
    <w:nsid w:val="05F40060"/>
    <w:multiLevelType w:val="hybridMultilevel"/>
    <w:tmpl w:val="4C1A024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42FBA"/>
    <w:multiLevelType w:val="multilevel"/>
    <w:tmpl w:val="56EE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D86A96"/>
    <w:multiLevelType w:val="singleLevel"/>
    <w:tmpl w:val="B76882D2"/>
    <w:lvl w:ilvl="0">
      <w:start w:val="4"/>
      <w:numFmt w:val="decimal"/>
      <w:lvlText w:val="%1"/>
      <w:lvlJc w:val="left"/>
      <w:pPr>
        <w:tabs>
          <w:tab w:val="num" w:pos="360"/>
        </w:tabs>
        <w:ind w:left="360" w:hanging="360"/>
      </w:pPr>
      <w:rPr>
        <w:rFonts w:hint="default"/>
      </w:rPr>
    </w:lvl>
  </w:abstractNum>
  <w:abstractNum w:abstractNumId="4" w15:restartNumberingAfterBreak="0">
    <w:nsid w:val="15744914"/>
    <w:multiLevelType w:val="singleLevel"/>
    <w:tmpl w:val="A9547F1A"/>
    <w:lvl w:ilvl="0">
      <w:start w:val="12"/>
      <w:numFmt w:val="decimal"/>
      <w:lvlText w:val="%1"/>
      <w:lvlJc w:val="left"/>
      <w:pPr>
        <w:tabs>
          <w:tab w:val="num" w:pos="705"/>
        </w:tabs>
        <w:ind w:left="705" w:hanging="705"/>
      </w:pPr>
      <w:rPr>
        <w:rFonts w:hint="default"/>
      </w:rPr>
    </w:lvl>
  </w:abstractNum>
  <w:abstractNum w:abstractNumId="5" w15:restartNumberingAfterBreak="0">
    <w:nsid w:val="20AA5AE7"/>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246978F2"/>
    <w:multiLevelType w:val="hybridMultilevel"/>
    <w:tmpl w:val="330A6D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F84166"/>
    <w:multiLevelType w:val="hybridMultilevel"/>
    <w:tmpl w:val="63F0567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2A437669"/>
    <w:multiLevelType w:val="hybridMultilevel"/>
    <w:tmpl w:val="ECA63A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C487E86"/>
    <w:multiLevelType w:val="multilevel"/>
    <w:tmpl w:val="81DAEEFE"/>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2E3F75CB"/>
    <w:multiLevelType w:val="hybridMultilevel"/>
    <w:tmpl w:val="850CA624"/>
    <w:lvl w:ilvl="0" w:tplc="40626D0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F43763"/>
    <w:multiLevelType w:val="singleLevel"/>
    <w:tmpl w:val="0A8A9CDA"/>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ABA257F"/>
    <w:multiLevelType w:val="hybridMultilevel"/>
    <w:tmpl w:val="555E50B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C2C365B"/>
    <w:multiLevelType w:val="multilevel"/>
    <w:tmpl w:val="0B4CDB32"/>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40DC0CAE"/>
    <w:multiLevelType w:val="singleLevel"/>
    <w:tmpl w:val="0407000F"/>
    <w:lvl w:ilvl="0">
      <w:start w:val="1"/>
      <w:numFmt w:val="decimal"/>
      <w:lvlText w:val="%1."/>
      <w:lvlJc w:val="left"/>
      <w:pPr>
        <w:tabs>
          <w:tab w:val="num" w:pos="360"/>
        </w:tabs>
        <w:ind w:left="360" w:hanging="360"/>
      </w:pPr>
    </w:lvl>
  </w:abstractNum>
  <w:abstractNum w:abstractNumId="15" w15:restartNumberingAfterBreak="0">
    <w:nsid w:val="43085935"/>
    <w:multiLevelType w:val="hybridMultilevel"/>
    <w:tmpl w:val="D6C6E3D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EA0A8E"/>
    <w:multiLevelType w:val="hybridMultilevel"/>
    <w:tmpl w:val="3C4EC8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46543740"/>
    <w:multiLevelType w:val="singleLevel"/>
    <w:tmpl w:val="BD945D8C"/>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67C34D6"/>
    <w:multiLevelType w:val="hybridMultilevel"/>
    <w:tmpl w:val="0B90CF9E"/>
    <w:lvl w:ilvl="0" w:tplc="0407000B">
      <w:numFmt w:val="bullet"/>
      <w:lvlText w:val=""/>
      <w:lvlJc w:val="left"/>
      <w:pPr>
        <w:ind w:left="720" w:hanging="360"/>
      </w:pPr>
      <w:rPr>
        <w:rFonts w:ascii="Wingdings" w:eastAsia="Times New Roman"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E35E3"/>
    <w:multiLevelType w:val="hybridMultilevel"/>
    <w:tmpl w:val="DCEE274E"/>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D47128"/>
    <w:multiLevelType w:val="hybridMultilevel"/>
    <w:tmpl w:val="5F2C9834"/>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1D58C7"/>
    <w:multiLevelType w:val="singleLevel"/>
    <w:tmpl w:val="28D4D73E"/>
    <w:lvl w:ilvl="0">
      <w:start w:val="12"/>
      <w:numFmt w:val="decimal"/>
      <w:lvlText w:val="%1."/>
      <w:lvlJc w:val="left"/>
      <w:pPr>
        <w:tabs>
          <w:tab w:val="num" w:pos="705"/>
        </w:tabs>
        <w:ind w:left="705" w:hanging="705"/>
      </w:pPr>
      <w:rPr>
        <w:rFonts w:hint="default"/>
      </w:rPr>
    </w:lvl>
  </w:abstractNum>
  <w:abstractNum w:abstractNumId="22" w15:restartNumberingAfterBreak="0">
    <w:nsid w:val="69733678"/>
    <w:multiLevelType w:val="multilevel"/>
    <w:tmpl w:val="C2CCB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4557D2"/>
    <w:multiLevelType w:val="hybridMultilevel"/>
    <w:tmpl w:val="E9144CB2"/>
    <w:lvl w:ilvl="0" w:tplc="336E7FD0">
      <w:start w:val="3"/>
      <w:numFmt w:val="bullet"/>
      <w:lvlText w:val="-"/>
      <w:lvlJc w:val="left"/>
      <w:pPr>
        <w:ind w:left="720" w:hanging="360"/>
      </w:pPr>
      <w:rPr>
        <w:rFonts w:ascii="Verdana" w:eastAsiaTheme="minorHAns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EA2FCF"/>
    <w:multiLevelType w:val="hybridMultilevel"/>
    <w:tmpl w:val="F698A544"/>
    <w:lvl w:ilvl="0" w:tplc="967CA0D0">
      <w:numFmt w:val="bullet"/>
      <w:lvlText w:val="-"/>
      <w:lvlJc w:val="left"/>
      <w:pPr>
        <w:ind w:left="72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7C1E13"/>
    <w:multiLevelType w:val="hybridMultilevel"/>
    <w:tmpl w:val="5CDCFAB6"/>
    <w:lvl w:ilvl="0" w:tplc="07D24578">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1443B3"/>
    <w:multiLevelType w:val="hybridMultilevel"/>
    <w:tmpl w:val="333292F4"/>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2417487"/>
    <w:multiLevelType w:val="singleLevel"/>
    <w:tmpl w:val="3D2C31E0"/>
    <w:lvl w:ilvl="0">
      <w:start w:val="11"/>
      <w:numFmt w:val="decimal"/>
      <w:lvlText w:val="%1"/>
      <w:lvlJc w:val="left"/>
      <w:pPr>
        <w:tabs>
          <w:tab w:val="num" w:pos="750"/>
        </w:tabs>
        <w:ind w:left="750" w:hanging="750"/>
      </w:pPr>
      <w:rPr>
        <w:rFonts w:hint="default"/>
      </w:rPr>
    </w:lvl>
  </w:abstractNum>
  <w:abstractNum w:abstractNumId="28" w15:restartNumberingAfterBreak="0">
    <w:nsid w:val="761853EA"/>
    <w:multiLevelType w:val="hybridMultilevel"/>
    <w:tmpl w:val="5EAA380C"/>
    <w:lvl w:ilvl="0" w:tplc="8EEEE3D0">
      <w:numFmt w:val="bullet"/>
      <w:lvlText w:val="-"/>
      <w:lvlJc w:val="left"/>
      <w:pPr>
        <w:ind w:left="1080" w:hanging="360"/>
      </w:pPr>
      <w:rPr>
        <w:rFonts w:ascii="Verdana" w:eastAsia="Times New Roman" w:hAnsi="Verdana" w:cs="Times New Roman" w:hint="default"/>
        <w:sz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77A41662"/>
    <w:multiLevelType w:val="singleLevel"/>
    <w:tmpl w:val="BBC621F2"/>
    <w:lvl w:ilvl="0">
      <w:start w:val="4"/>
      <w:numFmt w:val="decimal"/>
      <w:lvlText w:val="%1"/>
      <w:lvlJc w:val="left"/>
      <w:pPr>
        <w:tabs>
          <w:tab w:val="num" w:pos="705"/>
        </w:tabs>
        <w:ind w:left="705" w:hanging="705"/>
      </w:pPr>
      <w:rPr>
        <w:rFonts w:hint="default"/>
      </w:rPr>
    </w:lvl>
  </w:abstractNum>
  <w:abstractNum w:abstractNumId="30" w15:restartNumberingAfterBreak="0">
    <w:nsid w:val="77DF6BE0"/>
    <w:multiLevelType w:val="multilevel"/>
    <w:tmpl w:val="61B0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DE1F9B"/>
    <w:multiLevelType w:val="singleLevel"/>
    <w:tmpl w:val="5256231A"/>
    <w:lvl w:ilvl="0">
      <w:start w:val="15"/>
      <w:numFmt w:val="decimal"/>
      <w:lvlText w:val="%1."/>
      <w:lvlJc w:val="left"/>
      <w:pPr>
        <w:tabs>
          <w:tab w:val="num" w:pos="705"/>
        </w:tabs>
        <w:ind w:left="705" w:hanging="705"/>
      </w:pPr>
      <w:rPr>
        <w:rFonts w:hint="default"/>
      </w:rPr>
    </w:lvl>
  </w:abstractNum>
  <w:abstractNum w:abstractNumId="32" w15:restartNumberingAfterBreak="0">
    <w:nsid w:val="7F1105C4"/>
    <w:multiLevelType w:val="multilevel"/>
    <w:tmpl w:val="B756E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5"/>
  </w:num>
  <w:num w:numId="4">
    <w:abstractNumId w:val="0"/>
  </w:num>
  <w:num w:numId="5">
    <w:abstractNumId w:val="11"/>
  </w:num>
  <w:num w:numId="6">
    <w:abstractNumId w:val="21"/>
  </w:num>
  <w:num w:numId="7">
    <w:abstractNumId w:val="31"/>
  </w:num>
  <w:num w:numId="8">
    <w:abstractNumId w:val="29"/>
  </w:num>
  <w:num w:numId="9">
    <w:abstractNumId w:val="17"/>
  </w:num>
  <w:num w:numId="10">
    <w:abstractNumId w:val="27"/>
  </w:num>
  <w:num w:numId="11">
    <w:abstractNumId w:val="3"/>
  </w:num>
  <w:num w:numId="12">
    <w:abstractNumId w:val="4"/>
  </w:num>
  <w:num w:numId="13">
    <w:abstractNumId w:val="8"/>
  </w:num>
  <w:num w:numId="14">
    <w:abstractNumId w:val="2"/>
  </w:num>
  <w:num w:numId="15">
    <w:abstractNumId w:val="22"/>
  </w:num>
  <w:num w:numId="16">
    <w:abstractNumId w:val="32"/>
  </w:num>
  <w:num w:numId="17">
    <w:abstractNumId w:val="1"/>
  </w:num>
  <w:num w:numId="18">
    <w:abstractNumId w:val="25"/>
  </w:num>
  <w:num w:numId="19">
    <w:abstractNumId w:val="20"/>
  </w:num>
  <w:num w:numId="20">
    <w:abstractNumId w:val="6"/>
  </w:num>
  <w:num w:numId="21">
    <w:abstractNumId w:val="28"/>
  </w:num>
  <w:num w:numId="22">
    <w:abstractNumId w:val="19"/>
  </w:num>
  <w:num w:numId="23">
    <w:abstractNumId w:val="30"/>
  </w:num>
  <w:num w:numId="24">
    <w:abstractNumId w:val="24"/>
  </w:num>
  <w:num w:numId="25">
    <w:abstractNumId w:val="10"/>
  </w:num>
  <w:num w:numId="26">
    <w:abstractNumId w:val="15"/>
  </w:num>
  <w:num w:numId="27">
    <w:abstractNumId w:val="18"/>
  </w:num>
  <w:num w:numId="28">
    <w:abstractNumId w:val="13"/>
  </w:num>
  <w:num w:numId="29">
    <w:abstractNumId w:val="13"/>
    <w:lvlOverride w:ilvl="0">
      <w:lvl w:ilvl="0">
        <w:start w:val="1"/>
        <w:numFmt w:val="decimal"/>
        <w:pStyle w:val="BBHeading1"/>
        <w:lvlText w:val="%1."/>
        <w:lvlJc w:val="left"/>
        <w:pPr>
          <w:ind w:left="720" w:hanging="720"/>
        </w:pPr>
        <w:rPr>
          <w:rFonts w:hint="default"/>
        </w:rPr>
      </w:lvl>
    </w:lvlOverride>
    <w:lvlOverride w:ilvl="1">
      <w:lvl w:ilvl="1">
        <w:start w:val="1"/>
        <w:numFmt w:val="decimal"/>
        <w:pStyle w:val="BBClause2"/>
        <w:lvlText w:val="%1.%2"/>
        <w:lvlJc w:val="left"/>
        <w:pPr>
          <w:ind w:left="720" w:hanging="720"/>
        </w:pPr>
        <w:rPr>
          <w:rFonts w:hint="default"/>
          <w:b/>
          <w:color w:val="auto"/>
        </w:rPr>
      </w:lvl>
    </w:lvlOverride>
    <w:lvlOverride w:ilvl="2">
      <w:lvl w:ilvl="2">
        <w:start w:val="1"/>
        <w:numFmt w:val="decimal"/>
        <w:pStyle w:val="BBClause3"/>
        <w:lvlText w:val="%1.%2.%3"/>
        <w:lvlJc w:val="left"/>
        <w:pPr>
          <w:tabs>
            <w:tab w:val="num" w:pos="1622"/>
          </w:tabs>
          <w:ind w:left="1622" w:hanging="902"/>
        </w:pPr>
        <w:rPr>
          <w:rFonts w:hint="default"/>
        </w:rPr>
      </w:lvl>
    </w:lvlOverride>
    <w:lvlOverride w:ilvl="3">
      <w:lvl w:ilvl="3">
        <w:start w:val="1"/>
        <w:numFmt w:val="decimal"/>
        <w:pStyle w:val="BBClause4"/>
        <w:lvlText w:val="%1.%2.%3.%4"/>
        <w:lvlJc w:val="left"/>
        <w:pPr>
          <w:tabs>
            <w:tab w:val="num" w:pos="2699"/>
          </w:tabs>
          <w:ind w:left="2699" w:hanging="1077"/>
        </w:pPr>
        <w:rPr>
          <w:rFonts w:hint="default"/>
        </w:rPr>
      </w:lvl>
    </w:lvlOverride>
    <w:lvlOverride w:ilvl="4">
      <w:lvl w:ilvl="4">
        <w:start w:val="1"/>
        <w:numFmt w:val="lowerLetter"/>
        <w:pStyle w:val="BBClause5"/>
        <w:lvlText w:val="(%5)"/>
        <w:lvlJc w:val="left"/>
        <w:pPr>
          <w:tabs>
            <w:tab w:val="num" w:pos="2699"/>
          </w:tabs>
          <w:ind w:left="2699" w:hanging="1077"/>
        </w:pPr>
        <w:rPr>
          <w:rFonts w:hint="default"/>
        </w:rPr>
      </w:lvl>
    </w:lvlOverride>
    <w:lvlOverride w:ilvl="5">
      <w:lvl w:ilvl="5">
        <w:start w:val="1"/>
        <w:numFmt w:val="lowerRoman"/>
        <w:pStyle w:val="BBClause6"/>
        <w:lvlText w:val="(%6)"/>
        <w:lvlJc w:val="left"/>
        <w:pPr>
          <w:tabs>
            <w:tab w:val="num" w:pos="3238"/>
          </w:tabs>
          <w:ind w:left="3238" w:hanging="539"/>
        </w:pPr>
        <w:rPr>
          <w:rFonts w:hint="default"/>
        </w:rPr>
      </w:lvl>
    </w:lvlOverride>
    <w:lvlOverride w:ilvl="6">
      <w:lvl w:ilvl="6">
        <w:start w:val="1"/>
        <w:numFmt w:val="upperLetter"/>
        <w:pStyle w:val="BBClause7"/>
        <w:lvlText w:val="(%7)"/>
        <w:lvlJc w:val="left"/>
        <w:pPr>
          <w:tabs>
            <w:tab w:val="num" w:pos="3912"/>
          </w:tabs>
          <w:ind w:left="3912" w:hanging="674"/>
        </w:pPr>
        <w:rPr>
          <w:rFonts w:hint="default"/>
        </w:rPr>
      </w:lvl>
    </w:lvlOverride>
    <w:lvlOverride w:ilvl="7">
      <w:lvl w:ilvl="7">
        <w:start w:val="1"/>
        <w:numFmt w:val="upperRoman"/>
        <w:pStyle w:val="BBClause8"/>
        <w:lvlText w:val="(%8)"/>
        <w:lvlJc w:val="left"/>
        <w:pPr>
          <w:tabs>
            <w:tab w:val="num" w:pos="4587"/>
          </w:tabs>
          <w:ind w:left="4587" w:hanging="675"/>
        </w:pPr>
        <w:rPr>
          <w:rFonts w:hint="default"/>
        </w:rPr>
      </w:lvl>
    </w:lvlOverride>
    <w:lvlOverride w:ilvl="8">
      <w:lvl w:ilvl="8">
        <w:start w:val="1"/>
        <w:numFmt w:val="lowerRoman"/>
        <w:pStyle w:val="BBClause9"/>
        <w:lvlText w:val="%9."/>
        <w:lvlJc w:val="left"/>
        <w:pPr>
          <w:tabs>
            <w:tab w:val="num" w:pos="5262"/>
          </w:tabs>
          <w:ind w:left="5262" w:hanging="675"/>
        </w:pPr>
        <w:rPr>
          <w:rFonts w:hint="default"/>
        </w:rPr>
      </w:lvl>
    </w:lvlOverride>
  </w:num>
  <w:num w:numId="30">
    <w:abstractNumId w:val="26"/>
  </w:num>
  <w:num w:numId="31">
    <w:abstractNumId w:val="16"/>
  </w:num>
  <w:num w:numId="32">
    <w:abstractNumId w:val="7"/>
  </w:num>
  <w:num w:numId="33">
    <w:abstractNumId w:val="1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5B6202-9AC6-4198-8E11-776D04BC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Verdana" w:hAnsi="Verdana"/>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5">
    <w:name w:val="heading 5"/>
    <w:basedOn w:val="Standard"/>
    <w:next w:val="Standard"/>
    <w:qFormat/>
    <w:pPr>
      <w:keepNext/>
      <w:outlineLvl w:val="4"/>
    </w:pPr>
    <w:rPr>
      <w:b/>
      <w:sz w:val="24"/>
      <w:u w:val="single"/>
    </w:rPr>
  </w:style>
  <w:style w:type="paragraph" w:styleId="berschrift6">
    <w:name w:val="heading 6"/>
    <w:basedOn w:val="Standard"/>
    <w:next w:val="Standard"/>
    <w:qFormat/>
    <w:pPr>
      <w:spacing w:before="240" w:after="60"/>
      <w:outlineLvl w:val="5"/>
    </w:pPr>
    <w:rPr>
      <w:i/>
      <w:sz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pPr>
      <w:ind w:left="400" w:hanging="400"/>
    </w:pPr>
  </w:style>
  <w:style w:type="paragraph" w:styleId="Verzeichnis1">
    <w:name w:val="toc 1"/>
    <w:basedOn w:val="Standard"/>
    <w:next w:val="Standard"/>
    <w:semiHidden/>
    <w:pPr>
      <w:tabs>
        <w:tab w:val="right" w:leader="dot" w:pos="8788"/>
      </w:tabs>
      <w:spacing w:before="120" w:after="120" w:line="360" w:lineRule="auto"/>
    </w:pPr>
    <w:rPr>
      <w:b/>
    </w:rPr>
  </w:style>
  <w:style w:type="paragraph" w:styleId="Verzeichnis2">
    <w:name w:val="toc 2"/>
    <w:basedOn w:val="Standard"/>
    <w:next w:val="Standard"/>
    <w:semiHidden/>
    <w:pPr>
      <w:tabs>
        <w:tab w:val="right" w:leader="dot" w:pos="8788"/>
      </w:tabs>
      <w:spacing w:line="360" w:lineRule="auto"/>
      <w:ind w:left="200"/>
    </w:pPr>
    <w:rPr>
      <w:sz w:val="22"/>
    </w:rPr>
  </w:style>
  <w:style w:type="character" w:styleId="Seitenzahl">
    <w:name w:val="page number"/>
    <w:semiHidden/>
    <w:rPr>
      <w:rFonts w:ascii="Verdana" w:hAnsi="Verdana"/>
    </w:rPr>
  </w:style>
  <w:style w:type="character" w:styleId="Funotenzeichen">
    <w:name w:val="footnote reference"/>
    <w:semiHidden/>
    <w:rPr>
      <w:rFonts w:ascii="Verdana" w:hAnsi="Verdana"/>
      <w:vertAlign w:val="superscript"/>
    </w:rPr>
  </w:style>
  <w:style w:type="character" w:styleId="Endnotenzeichen">
    <w:name w:val="endnote reference"/>
    <w:semiHidden/>
    <w:rPr>
      <w:rFonts w:ascii="Verdana" w:hAnsi="Verdana"/>
      <w:vertAlign w:val="superscript"/>
    </w:rPr>
  </w:style>
  <w:style w:type="paragraph" w:styleId="Umschlagabsenderadresse">
    <w:name w:val="envelope return"/>
    <w:basedOn w:val="Standard"/>
    <w:next w:val="NurText"/>
    <w:semiHidden/>
  </w:style>
  <w:style w:type="paragraph" w:styleId="NurText">
    <w:name w:val="Plain Text"/>
    <w:basedOn w:val="Standard"/>
    <w:link w:val="NurTextZchn"/>
    <w:semiHidden/>
  </w:style>
  <w:style w:type="paragraph" w:customStyle="1" w:styleId="AntwortenWeiterleiten-Information">
    <w:name w:val="Antworten/Weiterleiten-Information"/>
    <w:basedOn w:val="Standard"/>
    <w:next w:val="Standard"/>
    <w:pPr>
      <w:pBdr>
        <w:left w:val="single" w:sz="18" w:space="1" w:color="auto"/>
      </w:pBdr>
      <w:shd w:val="pct10" w:color="auto" w:fill="auto"/>
    </w:pPr>
    <w:rPr>
      <w:b/>
    </w:rPr>
  </w:style>
  <w:style w:type="paragraph" w:customStyle="1" w:styleId="AntwortenWeiterleiten-Nachrichtenkopf">
    <w:name w:val="Antworten/Weiterleiten-Nachrichtenkopf"/>
    <w:basedOn w:val="Standard"/>
    <w:pPr>
      <w:pBdr>
        <w:left w:val="single" w:sz="18" w:space="1" w:color="auto"/>
      </w:pBdr>
    </w:pPr>
  </w:style>
  <w:style w:type="character" w:styleId="Hervorhebung">
    <w:name w:val="Emphasis"/>
    <w:uiPriority w:val="20"/>
    <w:qFormat/>
    <w:rPr>
      <w:rFonts w:ascii="Verdana" w:hAnsi="Verdana"/>
    </w:rPr>
  </w:style>
  <w:style w:type="character" w:styleId="BesuchterLink">
    <w:name w:val="FollowedHyperlink"/>
    <w:semiHidden/>
    <w:rPr>
      <w:rFonts w:ascii="Verdana" w:hAnsi="Verdana"/>
      <w:color w:val="800080"/>
      <w:sz w:val="16"/>
      <w:u w:val="single"/>
    </w:rPr>
  </w:style>
  <w:style w:type="character" w:styleId="Hyperlink">
    <w:name w:val="Hyperlink"/>
    <w:semiHidden/>
    <w:rPr>
      <w:rFonts w:ascii="Verdana" w:hAnsi="Verdana"/>
      <w:color w:val="0000FF"/>
      <w:sz w:val="16"/>
      <w:u w:val="single"/>
    </w:rPr>
  </w:style>
  <w:style w:type="paragraph" w:styleId="Index1">
    <w:name w:val="index 1"/>
    <w:basedOn w:val="Standard"/>
    <w:next w:val="Standard"/>
    <w:autoRedefine/>
    <w:semiHidden/>
    <w:pPr>
      <w:ind w:left="200" w:hanging="200"/>
    </w:pPr>
  </w:style>
  <w:style w:type="paragraph" w:styleId="Indexberschrift">
    <w:name w:val="index heading"/>
    <w:basedOn w:val="Standard"/>
    <w:next w:val="Index1"/>
    <w:semiHidden/>
    <w:rPr>
      <w:b/>
    </w:rPr>
  </w:style>
  <w:style w:type="character" w:styleId="Kommentarzeichen">
    <w:name w:val="annotation reference"/>
    <w:semiHidden/>
    <w:rPr>
      <w:rFonts w:ascii="Verdana" w:hAnsi="Verdana"/>
      <w:sz w:val="16"/>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Nachrichtenkopf-Ausdruck">
    <w:name w:val="Nachrichtenkopf-Ausdruck"/>
    <w:basedOn w:val="Standard"/>
    <w:next w:val="NurText"/>
    <w:autoRedefine/>
    <w:pPr>
      <w:pBdr>
        <w:left w:val="single" w:sz="18" w:space="1" w:color="auto"/>
      </w:pBdr>
    </w:p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b/>
      <w:sz w:val="22"/>
    </w:rPr>
  </w:style>
  <w:style w:type="character" w:styleId="Fett">
    <w:name w:val="Strong"/>
    <w:qFormat/>
    <w:rPr>
      <w:rFonts w:ascii="Verdana" w:hAnsi="Verdana"/>
      <w:b/>
    </w:rPr>
  </w:style>
  <w:style w:type="paragraph" w:styleId="Titel">
    <w:name w:val="Title"/>
    <w:basedOn w:val="Standard"/>
    <w:qFormat/>
    <w:pPr>
      <w:spacing w:before="240" w:after="60"/>
      <w:jc w:val="center"/>
      <w:outlineLvl w:val="0"/>
    </w:pPr>
    <w:rPr>
      <w:b/>
      <w:kern w:val="28"/>
      <w:sz w:val="32"/>
    </w:rPr>
  </w:style>
  <w:style w:type="paragraph" w:styleId="Umschlagadresse">
    <w:name w:val="envelope address"/>
    <w:basedOn w:val="Standard"/>
    <w:semiHidden/>
    <w:pPr>
      <w:framePr w:w="4320" w:h="2160" w:hRule="exact" w:hSpace="141" w:wrap="auto" w:hAnchor="page" w:xAlign="center" w:yAlign="bottom"/>
      <w:ind w:left="1"/>
    </w:pPr>
    <w:rPr>
      <w:sz w:val="24"/>
    </w:rPr>
  </w:style>
  <w:style w:type="paragraph" w:styleId="Untertitel">
    <w:name w:val="Subtitle"/>
    <w:basedOn w:val="Standard"/>
    <w:qFormat/>
    <w:pPr>
      <w:spacing w:after="60"/>
      <w:jc w:val="center"/>
      <w:outlineLvl w:val="1"/>
    </w:pPr>
    <w:rPr>
      <w:sz w:val="24"/>
    </w:rPr>
  </w:style>
  <w:style w:type="character" w:styleId="Zeilennummer">
    <w:name w:val="line number"/>
    <w:semiHidden/>
    <w:rPr>
      <w:rFonts w:ascii="Verdana" w:hAnsi="Verdana"/>
    </w:rPr>
  </w:style>
  <w:style w:type="paragraph" w:styleId="RGV-berschrift">
    <w:name w:val="toa heading"/>
    <w:basedOn w:val="Standard"/>
    <w:next w:val="Standard"/>
    <w:semiHidden/>
    <w:pPr>
      <w:spacing w:before="120"/>
    </w:pPr>
    <w:rPr>
      <w:b/>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NurTextZchn">
    <w:name w:val="Nur Text Zchn"/>
    <w:link w:val="NurText"/>
    <w:semiHidden/>
    <w:rPr>
      <w:rFonts w:ascii="Verdana" w:hAnsi="Verdana"/>
    </w:rPr>
  </w:style>
  <w:style w:type="paragraph" w:styleId="Textkrper">
    <w:name w:val="Body Text"/>
    <w:basedOn w:val="Standard"/>
    <w:link w:val="TextkrperZchn"/>
    <w:semiHidden/>
    <w:pPr>
      <w:spacing w:line="360" w:lineRule="auto"/>
      <w:jc w:val="both"/>
    </w:pPr>
  </w:style>
  <w:style w:type="character" w:customStyle="1" w:styleId="TextkrperZchn">
    <w:name w:val="Textkörper Zchn"/>
    <w:link w:val="Textkrper"/>
    <w:semiHidden/>
    <w:rPr>
      <w:rFonts w:ascii="Verdana" w:hAnsi="Verdana"/>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sz w:val="24"/>
      <w:szCs w:val="24"/>
    </w:rPr>
  </w:style>
  <w:style w:type="character" w:customStyle="1" w:styleId="KopfzeileZchn">
    <w:name w:val="Kopfzeile Zchn"/>
    <w:basedOn w:val="Absatz-Standardschriftart"/>
    <w:link w:val="Kopfzeile"/>
    <w:uiPriority w:val="99"/>
    <w:rPr>
      <w:rFonts w:ascii="Verdana" w:hAnsi="Verdana"/>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pPr>
      <w:ind w:left="720"/>
      <w:contextualSpacing/>
    </w:pPr>
  </w:style>
  <w:style w:type="paragraph" w:customStyle="1" w:styleId="Tabellenkopf">
    <w:name w:val="Tabellenkopf"/>
    <w:basedOn w:val="Standard"/>
    <w:next w:val="Standard"/>
    <w:autoRedefine/>
    <w:uiPriority w:val="99"/>
    <w:pPr>
      <w:keepNext/>
      <w:widowControl w:val="0"/>
      <w:spacing w:before="120" w:after="120" w:line="240" w:lineRule="atLeast"/>
      <w:ind w:left="-46"/>
      <w:jc w:val="center"/>
    </w:pPr>
    <w:rPr>
      <w:rFonts w:ascii="Arial" w:hAnsi="Arial" w:cs="Arial"/>
    </w:rPr>
  </w:style>
  <w:style w:type="paragraph" w:customStyle="1" w:styleId="Tabellenzeilen">
    <w:name w:val="Tabellenzeilen"/>
    <w:basedOn w:val="Standard"/>
    <w:uiPriority w:val="99"/>
    <w:pPr>
      <w:keepNext/>
      <w:widowControl w:val="0"/>
      <w:spacing w:before="120" w:after="120" w:line="240" w:lineRule="atLeast"/>
    </w:pPr>
    <w:rPr>
      <w:rFonts w:ascii="Arial" w:hAnsi="Arial" w:cs="Arial"/>
      <w:sz w:val="18"/>
      <w:szCs w:val="18"/>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rFonts w:ascii="Verdana" w:hAnsi="Verdana"/>
    </w:rPr>
  </w:style>
  <w:style w:type="paragraph" w:customStyle="1" w:styleId="NurText1">
    <w:name w:val="Nur Text1"/>
    <w:basedOn w:val="Standard"/>
    <w:rPr>
      <w:lang w:eastAsia="ar-SA"/>
    </w:rPr>
  </w:style>
  <w:style w:type="paragraph" w:customStyle="1" w:styleId="BBBodyTextIndent1">
    <w:name w:val="B&amp;B Body Text Indent 1"/>
    <w:basedOn w:val="Standard"/>
    <w:uiPriority w:val="19"/>
    <w:pPr>
      <w:spacing w:after="240"/>
      <w:ind w:left="720"/>
      <w:jc w:val="both"/>
    </w:pPr>
    <w:rPr>
      <w:rFonts w:ascii="Georgia" w:eastAsiaTheme="minorHAnsi" w:hAnsi="Georgia"/>
      <w:sz w:val="22"/>
      <w:lang w:val="en-GB" w:eastAsia="en-US"/>
    </w:rPr>
  </w:style>
  <w:style w:type="paragraph" w:customStyle="1" w:styleId="BBBodyTextIndent2">
    <w:name w:val="B&amp;B Body Text Indent 2"/>
    <w:basedOn w:val="Standard"/>
    <w:uiPriority w:val="19"/>
    <w:pPr>
      <w:spacing w:after="240"/>
      <w:ind w:left="720"/>
      <w:jc w:val="both"/>
    </w:pPr>
    <w:rPr>
      <w:rFonts w:ascii="Georgia" w:eastAsiaTheme="minorHAnsi" w:hAnsi="Georgia"/>
      <w:sz w:val="22"/>
      <w:lang w:eastAsia="en-US"/>
    </w:rPr>
  </w:style>
  <w:style w:type="paragraph" w:customStyle="1" w:styleId="BBHeading1">
    <w:name w:val="B&amp;B Heading 1"/>
    <w:basedOn w:val="Textkrper"/>
    <w:next w:val="BBBodyTextIndent1"/>
    <w:uiPriority w:val="9"/>
    <w:qFormat/>
    <w:pPr>
      <w:keepNext/>
      <w:numPr>
        <w:numId w:val="28"/>
      </w:numPr>
      <w:spacing w:after="240" w:line="240" w:lineRule="auto"/>
      <w:ind w:left="-370"/>
      <w:outlineLvl w:val="0"/>
    </w:pPr>
    <w:rPr>
      <w:rFonts w:ascii="Georgia" w:eastAsiaTheme="minorHAnsi" w:hAnsi="Georgia"/>
      <w:b/>
      <w:caps/>
      <w:sz w:val="22"/>
      <w:lang w:eastAsia="en-US"/>
    </w:rPr>
  </w:style>
  <w:style w:type="paragraph" w:customStyle="1" w:styleId="BBClause2">
    <w:name w:val="B&amp;B Clause 2"/>
    <w:basedOn w:val="Textkrper"/>
    <w:uiPriority w:val="29"/>
    <w:qFormat/>
    <w:pPr>
      <w:numPr>
        <w:ilvl w:val="1"/>
        <w:numId w:val="28"/>
      </w:numPr>
      <w:spacing w:after="240" w:line="240" w:lineRule="auto"/>
    </w:pPr>
    <w:rPr>
      <w:rFonts w:ascii="Georgia" w:eastAsiaTheme="minorHAnsi" w:hAnsi="Georgia"/>
      <w:sz w:val="22"/>
      <w:lang w:eastAsia="en-US"/>
    </w:rPr>
  </w:style>
  <w:style w:type="paragraph" w:customStyle="1" w:styleId="BBClause3">
    <w:name w:val="B&amp;B Clause 3"/>
    <w:basedOn w:val="Textkrper"/>
    <w:uiPriority w:val="29"/>
    <w:qFormat/>
    <w:pPr>
      <w:numPr>
        <w:ilvl w:val="2"/>
        <w:numId w:val="28"/>
      </w:numPr>
      <w:tabs>
        <w:tab w:val="num" w:pos="532"/>
      </w:tabs>
      <w:spacing w:after="240" w:line="240" w:lineRule="auto"/>
      <w:ind w:left="532"/>
    </w:pPr>
    <w:rPr>
      <w:rFonts w:ascii="Georgia" w:eastAsiaTheme="minorHAnsi" w:hAnsi="Georgia"/>
      <w:sz w:val="22"/>
      <w:lang w:eastAsia="en-US"/>
    </w:rPr>
  </w:style>
  <w:style w:type="paragraph" w:customStyle="1" w:styleId="BBClause4">
    <w:name w:val="B&amp;B Clause 4"/>
    <w:basedOn w:val="Textkrper"/>
    <w:uiPriority w:val="29"/>
    <w:qFormat/>
    <w:pPr>
      <w:numPr>
        <w:ilvl w:val="3"/>
        <w:numId w:val="28"/>
      </w:numPr>
      <w:tabs>
        <w:tab w:val="num" w:pos="1609"/>
      </w:tabs>
      <w:spacing w:after="240" w:line="240" w:lineRule="auto"/>
      <w:ind w:left="1609"/>
    </w:pPr>
    <w:rPr>
      <w:rFonts w:ascii="Georgia" w:eastAsiaTheme="minorHAnsi" w:hAnsi="Georgia"/>
      <w:sz w:val="22"/>
      <w:lang w:eastAsia="en-US"/>
    </w:rPr>
  </w:style>
  <w:style w:type="paragraph" w:customStyle="1" w:styleId="BBClause5">
    <w:name w:val="B&amp;B Clause 5"/>
    <w:basedOn w:val="Textkrper"/>
    <w:uiPriority w:val="29"/>
    <w:pPr>
      <w:numPr>
        <w:ilvl w:val="4"/>
        <w:numId w:val="28"/>
      </w:numPr>
      <w:tabs>
        <w:tab w:val="num" w:pos="1609"/>
      </w:tabs>
      <w:spacing w:after="240" w:line="240" w:lineRule="auto"/>
      <w:ind w:left="1609"/>
    </w:pPr>
    <w:rPr>
      <w:rFonts w:ascii="Georgia" w:eastAsiaTheme="minorHAnsi" w:hAnsi="Georgia"/>
      <w:sz w:val="22"/>
      <w:lang w:eastAsia="en-US"/>
    </w:rPr>
  </w:style>
  <w:style w:type="paragraph" w:customStyle="1" w:styleId="BBClause6">
    <w:name w:val="B&amp;B Clause 6"/>
    <w:basedOn w:val="Textkrper"/>
    <w:uiPriority w:val="29"/>
    <w:pPr>
      <w:numPr>
        <w:ilvl w:val="5"/>
        <w:numId w:val="28"/>
      </w:numPr>
      <w:tabs>
        <w:tab w:val="num" w:pos="2148"/>
      </w:tabs>
      <w:spacing w:after="240" w:line="240" w:lineRule="auto"/>
      <w:ind w:left="2148"/>
    </w:pPr>
    <w:rPr>
      <w:rFonts w:ascii="Georgia" w:eastAsiaTheme="minorHAnsi" w:hAnsi="Georgia"/>
      <w:sz w:val="22"/>
      <w:lang w:eastAsia="en-US"/>
    </w:rPr>
  </w:style>
  <w:style w:type="paragraph" w:customStyle="1" w:styleId="BBClause7">
    <w:name w:val="B&amp;B Clause 7"/>
    <w:basedOn w:val="Textkrper"/>
    <w:uiPriority w:val="29"/>
    <w:pPr>
      <w:numPr>
        <w:ilvl w:val="6"/>
        <w:numId w:val="28"/>
      </w:numPr>
      <w:tabs>
        <w:tab w:val="num" w:pos="2822"/>
      </w:tabs>
      <w:spacing w:after="240" w:line="240" w:lineRule="auto"/>
      <w:ind w:left="2822"/>
    </w:pPr>
    <w:rPr>
      <w:rFonts w:ascii="Georgia" w:eastAsiaTheme="minorHAnsi" w:hAnsi="Georgia"/>
      <w:sz w:val="22"/>
      <w:lang w:eastAsia="en-US"/>
    </w:rPr>
  </w:style>
  <w:style w:type="paragraph" w:customStyle="1" w:styleId="BBClause8">
    <w:name w:val="B&amp;B Clause 8"/>
    <w:basedOn w:val="Textkrper"/>
    <w:uiPriority w:val="29"/>
    <w:pPr>
      <w:numPr>
        <w:ilvl w:val="7"/>
        <w:numId w:val="28"/>
      </w:numPr>
      <w:tabs>
        <w:tab w:val="num" w:pos="3497"/>
      </w:tabs>
      <w:spacing w:after="240" w:line="240" w:lineRule="auto"/>
      <w:ind w:left="3497"/>
    </w:pPr>
    <w:rPr>
      <w:rFonts w:ascii="Georgia" w:eastAsiaTheme="minorHAnsi" w:hAnsi="Georgia"/>
      <w:sz w:val="22"/>
      <w:lang w:eastAsia="en-US"/>
    </w:rPr>
  </w:style>
  <w:style w:type="paragraph" w:customStyle="1" w:styleId="BBClause9">
    <w:name w:val="B&amp;B Clause 9"/>
    <w:basedOn w:val="Textkrper"/>
    <w:uiPriority w:val="29"/>
    <w:pPr>
      <w:numPr>
        <w:ilvl w:val="8"/>
        <w:numId w:val="28"/>
      </w:numPr>
      <w:tabs>
        <w:tab w:val="num" w:pos="4172"/>
      </w:tabs>
      <w:spacing w:after="240" w:line="240" w:lineRule="auto"/>
      <w:ind w:left="4172"/>
    </w:pPr>
    <w:rPr>
      <w:rFonts w:ascii="Georgia" w:eastAsiaTheme="minorHAnsi" w:hAnsi="Georgia"/>
      <w:sz w:val="22"/>
      <w:lang w:eastAsia="en-US"/>
    </w:rPr>
  </w:style>
  <w:style w:type="paragraph" w:customStyle="1" w:styleId="BBHeading1Lower">
    <w:name w:val="B&amp;B Heading 1 (Lower)"/>
    <w:basedOn w:val="BBHeading1"/>
    <w:next w:val="BBBodyTextIndent1"/>
    <w:uiPriority w:val="9"/>
    <w:rPr>
      <w:caps w:val="0"/>
    </w:rPr>
  </w:style>
  <w:style w:type="paragraph" w:customStyle="1" w:styleId="BBHeading2">
    <w:name w:val="B&amp;B Heading 2"/>
    <w:basedOn w:val="BBClause2"/>
    <w:next w:val="BBBodyTextIndent2"/>
    <w:uiPriority w:val="9"/>
    <w:qFormat/>
    <w:pPr>
      <w:keepNext/>
      <w:outlineLvl w:val="1"/>
    </w:pPr>
    <w:rPr>
      <w:b/>
    </w:rPr>
  </w:style>
  <w:style w:type="numbering" w:customStyle="1" w:styleId="NumberingMain">
    <w:name w:val="Numbering Main"/>
    <w:uiPriority w:val="99"/>
    <w:pPr>
      <w:numPr>
        <w:numId w:val="28"/>
      </w:numPr>
    </w:pPr>
  </w:style>
  <w:style w:type="paragraph" w:styleId="Kommentartext">
    <w:name w:val="annotation text"/>
    <w:basedOn w:val="Standard"/>
    <w:link w:val="KommentartextZchn"/>
    <w:uiPriority w:val="99"/>
    <w:semiHidden/>
    <w:unhideWhenUsed/>
  </w:style>
  <w:style w:type="character" w:customStyle="1" w:styleId="KommentartextZchn">
    <w:name w:val="Kommentartext Zchn"/>
    <w:basedOn w:val="Absatz-Standardschriftart"/>
    <w:link w:val="Kommentartext"/>
    <w:uiPriority w:val="99"/>
    <w:semiHidden/>
    <w:rPr>
      <w:rFonts w:ascii="Verdana" w:hAnsi="Verdan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49463">
      <w:bodyDiv w:val="1"/>
      <w:marLeft w:val="0"/>
      <w:marRight w:val="0"/>
      <w:marTop w:val="0"/>
      <w:marBottom w:val="0"/>
      <w:divBdr>
        <w:top w:val="none" w:sz="0" w:space="0" w:color="auto"/>
        <w:left w:val="none" w:sz="0" w:space="0" w:color="auto"/>
        <w:bottom w:val="none" w:sz="0" w:space="0" w:color="auto"/>
        <w:right w:val="none" w:sz="0" w:space="0" w:color="auto"/>
      </w:divBdr>
    </w:div>
    <w:div w:id="153768018">
      <w:bodyDiv w:val="1"/>
      <w:marLeft w:val="0"/>
      <w:marRight w:val="0"/>
      <w:marTop w:val="0"/>
      <w:marBottom w:val="0"/>
      <w:divBdr>
        <w:top w:val="none" w:sz="0" w:space="0" w:color="auto"/>
        <w:left w:val="none" w:sz="0" w:space="0" w:color="auto"/>
        <w:bottom w:val="none" w:sz="0" w:space="0" w:color="auto"/>
        <w:right w:val="none" w:sz="0" w:space="0" w:color="auto"/>
      </w:divBdr>
    </w:div>
    <w:div w:id="397947091">
      <w:bodyDiv w:val="1"/>
      <w:marLeft w:val="0"/>
      <w:marRight w:val="0"/>
      <w:marTop w:val="0"/>
      <w:marBottom w:val="0"/>
      <w:divBdr>
        <w:top w:val="none" w:sz="0" w:space="0" w:color="auto"/>
        <w:left w:val="none" w:sz="0" w:space="0" w:color="auto"/>
        <w:bottom w:val="none" w:sz="0" w:space="0" w:color="auto"/>
        <w:right w:val="none" w:sz="0" w:space="0" w:color="auto"/>
      </w:divBdr>
      <w:divsChild>
        <w:div w:id="1192112108">
          <w:marLeft w:val="0"/>
          <w:marRight w:val="0"/>
          <w:marTop w:val="0"/>
          <w:marBottom w:val="0"/>
          <w:divBdr>
            <w:top w:val="none" w:sz="0" w:space="0" w:color="auto"/>
            <w:left w:val="none" w:sz="0" w:space="0" w:color="auto"/>
            <w:bottom w:val="none" w:sz="0" w:space="0" w:color="auto"/>
            <w:right w:val="none" w:sz="0" w:space="0" w:color="auto"/>
          </w:divBdr>
          <w:divsChild>
            <w:div w:id="1167019105">
              <w:marLeft w:val="0"/>
              <w:marRight w:val="0"/>
              <w:marTop w:val="0"/>
              <w:marBottom w:val="0"/>
              <w:divBdr>
                <w:top w:val="none" w:sz="0" w:space="0" w:color="auto"/>
                <w:left w:val="none" w:sz="0" w:space="0" w:color="auto"/>
                <w:bottom w:val="none" w:sz="0" w:space="0" w:color="auto"/>
                <w:right w:val="none" w:sz="0" w:space="0" w:color="auto"/>
              </w:divBdr>
            </w:div>
          </w:divsChild>
        </w:div>
        <w:div w:id="354775582">
          <w:marLeft w:val="0"/>
          <w:marRight w:val="0"/>
          <w:marTop w:val="0"/>
          <w:marBottom w:val="0"/>
          <w:divBdr>
            <w:top w:val="none" w:sz="0" w:space="0" w:color="auto"/>
            <w:left w:val="none" w:sz="0" w:space="0" w:color="auto"/>
            <w:bottom w:val="none" w:sz="0" w:space="0" w:color="auto"/>
            <w:right w:val="none" w:sz="0" w:space="0" w:color="auto"/>
          </w:divBdr>
        </w:div>
        <w:div w:id="260534292">
          <w:marLeft w:val="0"/>
          <w:marRight w:val="0"/>
          <w:marTop w:val="0"/>
          <w:marBottom w:val="0"/>
          <w:divBdr>
            <w:top w:val="none" w:sz="0" w:space="0" w:color="auto"/>
            <w:left w:val="none" w:sz="0" w:space="0" w:color="auto"/>
            <w:bottom w:val="none" w:sz="0" w:space="0" w:color="auto"/>
            <w:right w:val="none" w:sz="0" w:space="0" w:color="auto"/>
          </w:divBdr>
        </w:div>
        <w:div w:id="477383011">
          <w:marLeft w:val="0"/>
          <w:marRight w:val="0"/>
          <w:marTop w:val="0"/>
          <w:marBottom w:val="0"/>
          <w:divBdr>
            <w:top w:val="none" w:sz="0" w:space="0" w:color="auto"/>
            <w:left w:val="none" w:sz="0" w:space="0" w:color="auto"/>
            <w:bottom w:val="none" w:sz="0" w:space="0" w:color="auto"/>
            <w:right w:val="none" w:sz="0" w:space="0" w:color="auto"/>
          </w:divBdr>
        </w:div>
      </w:divsChild>
    </w:div>
    <w:div w:id="562066531">
      <w:bodyDiv w:val="1"/>
      <w:marLeft w:val="0"/>
      <w:marRight w:val="0"/>
      <w:marTop w:val="0"/>
      <w:marBottom w:val="0"/>
      <w:divBdr>
        <w:top w:val="none" w:sz="0" w:space="0" w:color="auto"/>
        <w:left w:val="none" w:sz="0" w:space="0" w:color="auto"/>
        <w:bottom w:val="none" w:sz="0" w:space="0" w:color="auto"/>
        <w:right w:val="none" w:sz="0" w:space="0" w:color="auto"/>
      </w:divBdr>
    </w:div>
    <w:div w:id="591623157">
      <w:bodyDiv w:val="1"/>
      <w:marLeft w:val="0"/>
      <w:marRight w:val="0"/>
      <w:marTop w:val="0"/>
      <w:marBottom w:val="0"/>
      <w:divBdr>
        <w:top w:val="none" w:sz="0" w:space="0" w:color="auto"/>
        <w:left w:val="none" w:sz="0" w:space="0" w:color="auto"/>
        <w:bottom w:val="none" w:sz="0" w:space="0" w:color="auto"/>
        <w:right w:val="none" w:sz="0" w:space="0" w:color="auto"/>
      </w:divBdr>
    </w:div>
    <w:div w:id="706102317">
      <w:bodyDiv w:val="1"/>
      <w:marLeft w:val="0"/>
      <w:marRight w:val="0"/>
      <w:marTop w:val="0"/>
      <w:marBottom w:val="0"/>
      <w:divBdr>
        <w:top w:val="none" w:sz="0" w:space="0" w:color="auto"/>
        <w:left w:val="none" w:sz="0" w:space="0" w:color="auto"/>
        <w:bottom w:val="none" w:sz="0" w:space="0" w:color="auto"/>
        <w:right w:val="none" w:sz="0" w:space="0" w:color="auto"/>
      </w:divBdr>
    </w:div>
    <w:div w:id="1372728790">
      <w:bodyDiv w:val="1"/>
      <w:marLeft w:val="0"/>
      <w:marRight w:val="0"/>
      <w:marTop w:val="0"/>
      <w:marBottom w:val="0"/>
      <w:divBdr>
        <w:top w:val="none" w:sz="0" w:space="0" w:color="auto"/>
        <w:left w:val="none" w:sz="0" w:space="0" w:color="auto"/>
        <w:bottom w:val="none" w:sz="0" w:space="0" w:color="auto"/>
        <w:right w:val="none" w:sz="0" w:space="0" w:color="auto"/>
      </w:divBdr>
    </w:div>
    <w:div w:id="1391002914">
      <w:bodyDiv w:val="1"/>
      <w:marLeft w:val="0"/>
      <w:marRight w:val="0"/>
      <w:marTop w:val="0"/>
      <w:marBottom w:val="0"/>
      <w:divBdr>
        <w:top w:val="none" w:sz="0" w:space="0" w:color="auto"/>
        <w:left w:val="none" w:sz="0" w:space="0" w:color="auto"/>
        <w:bottom w:val="none" w:sz="0" w:space="0" w:color="auto"/>
        <w:right w:val="none" w:sz="0" w:space="0" w:color="auto"/>
      </w:divBdr>
    </w:div>
    <w:div w:id="1474064001">
      <w:bodyDiv w:val="1"/>
      <w:marLeft w:val="0"/>
      <w:marRight w:val="0"/>
      <w:marTop w:val="0"/>
      <w:marBottom w:val="0"/>
      <w:divBdr>
        <w:top w:val="none" w:sz="0" w:space="0" w:color="auto"/>
        <w:left w:val="none" w:sz="0" w:space="0" w:color="auto"/>
        <w:bottom w:val="none" w:sz="0" w:space="0" w:color="auto"/>
        <w:right w:val="none" w:sz="0" w:space="0" w:color="auto"/>
      </w:divBdr>
    </w:div>
    <w:div w:id="1879464394">
      <w:bodyDiv w:val="1"/>
      <w:marLeft w:val="0"/>
      <w:marRight w:val="0"/>
      <w:marTop w:val="0"/>
      <w:marBottom w:val="0"/>
      <w:divBdr>
        <w:top w:val="none" w:sz="0" w:space="0" w:color="auto"/>
        <w:left w:val="none" w:sz="0" w:space="0" w:color="auto"/>
        <w:bottom w:val="none" w:sz="0" w:space="0" w:color="auto"/>
        <w:right w:val="none" w:sz="0" w:space="0" w:color="auto"/>
      </w:divBdr>
    </w:div>
    <w:div w:id="2069843011">
      <w:bodyDiv w:val="1"/>
      <w:marLeft w:val="0"/>
      <w:marRight w:val="0"/>
      <w:marTop w:val="0"/>
      <w:marBottom w:val="0"/>
      <w:divBdr>
        <w:top w:val="none" w:sz="0" w:space="0" w:color="auto"/>
        <w:left w:val="none" w:sz="0" w:space="0" w:color="auto"/>
        <w:bottom w:val="none" w:sz="0" w:space="0" w:color="auto"/>
        <w:right w:val="none" w:sz="0" w:space="0" w:color="auto"/>
      </w:divBdr>
    </w:div>
    <w:div w:id="208923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B4391-434C-4E09-9FC3-5894F97A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1261</Words>
  <Characters>9070</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Anlage 1</vt:lpstr>
    </vt:vector>
  </TitlesOfParts>
  <Company>Stadtverwaltung Muelheim an der Ruhr</Company>
  <LinksUpToDate>false</LinksUpToDate>
  <CharactersWithSpaces>10311</CharactersWithSpaces>
  <SharedDoc>false</SharedDoc>
  <HLinks>
    <vt:vector size="18" baseType="variant">
      <vt:variant>
        <vt:i4>131105</vt:i4>
      </vt:variant>
      <vt:variant>
        <vt:i4>6</vt:i4>
      </vt:variant>
      <vt:variant>
        <vt:i4>0</vt:i4>
      </vt:variant>
      <vt:variant>
        <vt:i4>5</vt:i4>
      </vt:variant>
      <vt:variant>
        <vt:lpwstr>mailto:Michael.Flettner@stadt-mh.de</vt:lpwstr>
      </vt:variant>
      <vt:variant>
        <vt:lpwstr/>
      </vt:variant>
      <vt:variant>
        <vt:i4>7929934</vt:i4>
      </vt:variant>
      <vt:variant>
        <vt:i4>3</vt:i4>
      </vt:variant>
      <vt:variant>
        <vt:i4>0</vt:i4>
      </vt:variant>
      <vt:variant>
        <vt:i4>5</vt:i4>
      </vt:variant>
      <vt:variant>
        <vt:lpwstr>mailto:sandra.hansmann@muelheim-ruhr.de</vt:lpwstr>
      </vt:variant>
      <vt:variant>
        <vt:lpwstr/>
      </vt:variant>
      <vt:variant>
        <vt:i4>1507381</vt:i4>
      </vt:variant>
      <vt:variant>
        <vt:i4>0</vt:i4>
      </vt:variant>
      <vt:variant>
        <vt:i4>0</vt:i4>
      </vt:variant>
      <vt:variant>
        <vt:i4>5</vt:i4>
      </vt:variant>
      <vt:variant>
        <vt:lpwstr>mailto:Thomas.Boelke@muelheim-ruhr.de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dc:title>
  <dc:creator>MFlettne</dc:creator>
  <cp:lastModifiedBy>Sandfort, Fabian</cp:lastModifiedBy>
  <cp:revision>6</cp:revision>
  <cp:lastPrinted>2020-09-02T07:58:00Z</cp:lastPrinted>
  <dcterms:created xsi:type="dcterms:W3CDTF">2024-11-14T10:03:00Z</dcterms:created>
  <dcterms:modified xsi:type="dcterms:W3CDTF">2024-11-20T09:34:00Z</dcterms:modified>
</cp:coreProperties>
</file>