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Umrüstung der Flutlichtbeleuchtung der Sportanlage Saarnberg </w:t>
      </w:r>
    </w:p>
    <w:p>
      <w:pPr>
        <w:spacing w:line="276" w:lineRule="auto"/>
        <w:ind w:left="1701" w:hanging="1701"/>
        <w:jc w:val="left"/>
        <w:rPr>
          <w:b/>
        </w:rPr>
      </w:pPr>
      <w:r>
        <w:rPr>
          <w:b/>
        </w:rPr>
        <w:tab/>
        <w:t>auf LED</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19. September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7843" w:type="dxa"/>
        <w:tblInd w:w="1229" w:type="dxa"/>
        <w:tblLayout w:type="fixed"/>
        <w:tblCellMar>
          <w:left w:w="57" w:type="dxa"/>
          <w:right w:w="57" w:type="dxa"/>
        </w:tblCellMar>
        <w:tblLook w:val="01E0" w:firstRow="1" w:lastRow="1" w:firstColumn="1" w:lastColumn="1" w:noHBand="0" w:noVBand="0"/>
      </w:tblPr>
      <w:tblGrid>
        <w:gridCol w:w="3927"/>
        <w:gridCol w:w="3916"/>
      </w:tblGrid>
      <w:tr>
        <w:trPr>
          <w:trHeight w:val="263"/>
        </w:trPr>
        <w:tc>
          <w:tcPr>
            <w:tcW w:w="3927" w:type="dxa"/>
            <w:shd w:val="clear" w:color="auto" w:fill="auto"/>
          </w:tcPr>
          <w:p>
            <w:pPr>
              <w:spacing w:line="240" w:lineRule="auto"/>
              <w:jc w:val="right"/>
            </w:pPr>
            <w:r>
              <w:t>Vorgesehener Baubeginn:</w:t>
            </w:r>
          </w:p>
        </w:tc>
        <w:tc>
          <w:tcPr>
            <w:tcW w:w="3916" w:type="dxa"/>
            <w:shd w:val="clear" w:color="auto" w:fill="auto"/>
          </w:tcPr>
          <w:p>
            <w:pPr>
              <w:spacing w:line="240" w:lineRule="auto"/>
              <w:jc w:val="left"/>
              <w:rPr>
                <w:b/>
              </w:rPr>
            </w:pPr>
            <w:r>
              <w:rPr>
                <w:b/>
              </w:rPr>
              <w:t xml:space="preserve">sofort nach Auftragserteilung, in Abstimmung mit dem Mülheimer </w:t>
            </w:r>
            <w:proofErr w:type="spellStart"/>
            <w:r>
              <w:rPr>
                <w:b/>
              </w:rPr>
              <w:t>SportService</w:t>
            </w:r>
            <w:proofErr w:type="spellEnd"/>
            <w:r>
              <w:rPr>
                <w:b/>
              </w:rPr>
              <w:t xml:space="preserve"> (die Arbeiten sollen bis spätestens </w:t>
            </w:r>
            <w:bookmarkStart w:id="0" w:name="_GoBack"/>
            <w:bookmarkEnd w:id="0"/>
            <w:r>
              <w:rPr>
                <w:b/>
              </w:rPr>
              <w:t>zum Ende der Herbstferien abgeschlossen sein)</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3916" w:type="dxa"/>
            <w:shd w:val="clear" w:color="auto" w:fill="auto"/>
          </w:tcPr>
          <w:p>
            <w:pPr>
              <w:spacing w:line="240" w:lineRule="auto"/>
              <w:jc w:val="left"/>
              <w:rPr>
                <w:b/>
              </w:rPr>
            </w:pPr>
            <w:r>
              <w:rPr>
                <w:b/>
              </w:rPr>
              <w:t>2 Arbeitstage</w:t>
            </w:r>
          </w:p>
          <w:p>
            <w:pPr>
              <w:spacing w:line="240" w:lineRule="auto"/>
              <w:jc w:val="left"/>
              <w:rPr>
                <w:b/>
              </w:rPr>
            </w:pPr>
          </w:p>
        </w:tc>
      </w:tr>
    </w:tbl>
    <w:p>
      <w:pPr>
        <w:suppressAutoHyphens/>
        <w:spacing w:line="240" w:lineRule="auto"/>
        <w:ind w:left="2832" w:firstLine="708"/>
      </w:pPr>
      <w:r>
        <w:t xml:space="preserve">       Bindefrist:  </w:t>
      </w:r>
      <w:r>
        <w:rPr>
          <w:b/>
          <w:i/>
        </w:rPr>
        <w:t>17. Oktober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1958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46</cp:revision>
  <dcterms:created xsi:type="dcterms:W3CDTF">2023-03-24T10:45:00Z</dcterms:created>
  <dcterms:modified xsi:type="dcterms:W3CDTF">2025-08-29T09:23:00Z</dcterms:modified>
</cp:coreProperties>
</file>