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E0540" w14:textId="77777777" w:rsidR="00ED2357" w:rsidRPr="005472A0" w:rsidRDefault="00ED2357" w:rsidP="007735F7">
      <w:pPr>
        <w:pStyle w:val="berschrift5"/>
        <w:spacing w:line="276" w:lineRule="auto"/>
        <w:jc w:val="both"/>
        <w:rPr>
          <w:sz w:val="22"/>
          <w:szCs w:val="22"/>
          <w:u w:val="none"/>
        </w:rPr>
      </w:pPr>
    </w:p>
    <w:p w14:paraId="789CF47E" w14:textId="005732A7" w:rsidR="00ED2357" w:rsidRPr="005472A0" w:rsidRDefault="00ED2357" w:rsidP="007735F7">
      <w:pPr>
        <w:pStyle w:val="berschrift5"/>
        <w:spacing w:line="276" w:lineRule="auto"/>
        <w:jc w:val="both"/>
        <w:rPr>
          <w:sz w:val="22"/>
          <w:szCs w:val="22"/>
          <w:u w:val="none"/>
        </w:rPr>
      </w:pPr>
      <w:r w:rsidRPr="005472A0">
        <w:rPr>
          <w:sz w:val="22"/>
          <w:szCs w:val="22"/>
          <w:u w:val="none"/>
        </w:rPr>
        <w:t>Anlage 1 zum EVB-IT Diens</w:t>
      </w:r>
      <w:r w:rsidR="00143DBF" w:rsidRPr="005472A0">
        <w:rPr>
          <w:sz w:val="22"/>
          <w:szCs w:val="22"/>
          <w:u w:val="none"/>
        </w:rPr>
        <w:t>t</w:t>
      </w:r>
      <w:r w:rsidRPr="005472A0">
        <w:rPr>
          <w:sz w:val="22"/>
          <w:szCs w:val="22"/>
          <w:u w:val="none"/>
        </w:rPr>
        <w:t xml:space="preserve">vertrag </w:t>
      </w:r>
      <w:r w:rsidR="00C2532B" w:rsidRPr="005472A0">
        <w:rPr>
          <w:sz w:val="22"/>
          <w:szCs w:val="22"/>
          <w:u w:val="none"/>
        </w:rPr>
        <w:t xml:space="preserve">STADT MH  / 000_229_Breitbandanschluss Schulen MH </w:t>
      </w:r>
    </w:p>
    <w:p w14:paraId="385C73B2" w14:textId="77777777" w:rsidR="00ED2357" w:rsidRPr="007735F7" w:rsidRDefault="00ED2357" w:rsidP="007735F7">
      <w:pPr>
        <w:spacing w:line="276" w:lineRule="auto"/>
        <w:jc w:val="both"/>
      </w:pPr>
    </w:p>
    <w:p w14:paraId="4DCF391F" w14:textId="199E428D" w:rsidR="00ED2357" w:rsidRPr="007735F7" w:rsidRDefault="00ED2357" w:rsidP="007735F7">
      <w:pPr>
        <w:tabs>
          <w:tab w:val="left" w:pos="779"/>
          <w:tab w:val="left" w:pos="8292"/>
        </w:tabs>
        <w:spacing w:after="120" w:line="276" w:lineRule="auto"/>
        <w:ind w:left="113"/>
        <w:jc w:val="both"/>
        <w:rPr>
          <w:rFonts w:cs="Arial"/>
          <w:b/>
        </w:rPr>
      </w:pPr>
    </w:p>
    <w:p w14:paraId="21CF42B7" w14:textId="77777777" w:rsidR="00ED2357" w:rsidRPr="007735F7" w:rsidRDefault="00ED2357" w:rsidP="007735F7">
      <w:pPr>
        <w:spacing w:line="276" w:lineRule="auto"/>
        <w:jc w:val="both"/>
      </w:pPr>
    </w:p>
    <w:p w14:paraId="0C7CA7A7" w14:textId="2F1FFADD" w:rsidR="00ED2357" w:rsidRPr="007735F7" w:rsidRDefault="00ED2357" w:rsidP="007735F7">
      <w:pPr>
        <w:spacing w:line="276" w:lineRule="auto"/>
        <w:jc w:val="both"/>
        <w:rPr>
          <w:u w:val="single"/>
        </w:rPr>
      </w:pPr>
      <w:r w:rsidRPr="007735F7">
        <w:rPr>
          <w:u w:val="single"/>
        </w:rPr>
        <w:t>Ergänzende Leistungsbeschreibung und Mindestanforderungen entsprechend EVB-IT Dienstleistungsvertrag 1.2.3:</w:t>
      </w:r>
    </w:p>
    <w:p w14:paraId="2BC80622" w14:textId="243F4AC0" w:rsidR="00ED2357" w:rsidRDefault="00ED2357" w:rsidP="007735F7">
      <w:pPr>
        <w:pStyle w:val="Listenabsatz"/>
        <w:numPr>
          <w:ilvl w:val="0"/>
          <w:numId w:val="29"/>
        </w:numPr>
        <w:spacing w:line="276" w:lineRule="auto"/>
        <w:jc w:val="both"/>
      </w:pPr>
      <w:r w:rsidRPr="007735F7">
        <w:t>Ergänzende Leistungsbeschreibung</w:t>
      </w:r>
    </w:p>
    <w:p w14:paraId="7E651959" w14:textId="03D26EC9" w:rsidR="00BF449A" w:rsidRDefault="00BF449A" w:rsidP="007735F7">
      <w:pPr>
        <w:pStyle w:val="Listenabsatz"/>
        <w:numPr>
          <w:ilvl w:val="0"/>
          <w:numId w:val="29"/>
        </w:numPr>
        <w:spacing w:line="276" w:lineRule="auto"/>
        <w:jc w:val="both"/>
      </w:pPr>
      <w:r>
        <w:t xml:space="preserve">Vertragslaufzeit </w:t>
      </w:r>
    </w:p>
    <w:p w14:paraId="6FF65177" w14:textId="0FC7DC85" w:rsidR="00F463CB" w:rsidRPr="007735F7" w:rsidRDefault="00F463CB" w:rsidP="007735F7">
      <w:pPr>
        <w:pStyle w:val="Listenabsatz"/>
        <w:numPr>
          <w:ilvl w:val="0"/>
          <w:numId w:val="29"/>
        </w:numPr>
        <w:spacing w:line="276" w:lineRule="auto"/>
        <w:jc w:val="both"/>
      </w:pPr>
      <w:r>
        <w:t>Standorte</w:t>
      </w:r>
    </w:p>
    <w:p w14:paraId="25385AE1" w14:textId="64F74153" w:rsidR="00ED2357" w:rsidRPr="007735F7" w:rsidRDefault="00ED2357" w:rsidP="007735F7">
      <w:pPr>
        <w:pStyle w:val="Listenabsatz"/>
        <w:numPr>
          <w:ilvl w:val="0"/>
          <w:numId w:val="29"/>
        </w:numPr>
        <w:spacing w:line="276" w:lineRule="auto"/>
        <w:contextualSpacing w:val="0"/>
        <w:jc w:val="both"/>
      </w:pPr>
      <w:r w:rsidRPr="007735F7">
        <w:t>Mindestanforderungen</w:t>
      </w:r>
    </w:p>
    <w:p w14:paraId="7E033FD4" w14:textId="1D7D1D23" w:rsidR="00ED2357" w:rsidRPr="007735F7" w:rsidRDefault="00ED2357" w:rsidP="007735F7">
      <w:pPr>
        <w:pStyle w:val="Listenabsatz"/>
        <w:numPr>
          <w:ilvl w:val="0"/>
          <w:numId w:val="29"/>
        </w:numPr>
        <w:spacing w:line="276" w:lineRule="auto"/>
        <w:contextualSpacing w:val="0"/>
        <w:jc w:val="both"/>
      </w:pPr>
      <w:r w:rsidRPr="007735F7">
        <w:t>Servicezeiten</w:t>
      </w:r>
    </w:p>
    <w:p w14:paraId="74F4318A" w14:textId="04A01EA6" w:rsidR="00ED2357" w:rsidRPr="007735F7" w:rsidRDefault="00ED2357" w:rsidP="007735F7">
      <w:pPr>
        <w:pStyle w:val="Listenabsatz"/>
        <w:numPr>
          <w:ilvl w:val="0"/>
          <w:numId w:val="29"/>
        </w:numPr>
        <w:spacing w:line="276" w:lineRule="auto"/>
        <w:contextualSpacing w:val="0"/>
        <w:jc w:val="both"/>
      </w:pPr>
      <w:r w:rsidRPr="007735F7">
        <w:t>Bereitgestellte Hardware</w:t>
      </w:r>
    </w:p>
    <w:p w14:paraId="75A2BF56" w14:textId="3A9F8F8E" w:rsidR="00ED2357" w:rsidRPr="007735F7" w:rsidRDefault="00ED2357" w:rsidP="007735F7">
      <w:pPr>
        <w:pStyle w:val="Listenabsatz"/>
        <w:numPr>
          <w:ilvl w:val="0"/>
          <w:numId w:val="29"/>
        </w:numPr>
        <w:spacing w:line="276" w:lineRule="auto"/>
        <w:contextualSpacing w:val="0"/>
        <w:jc w:val="both"/>
      </w:pPr>
      <w:r w:rsidRPr="007735F7">
        <w:t>Einwahl</w:t>
      </w:r>
    </w:p>
    <w:p w14:paraId="0E98CC27" w14:textId="186B87A0" w:rsidR="00801F1A" w:rsidRPr="007735F7" w:rsidRDefault="00801F1A" w:rsidP="007735F7">
      <w:pPr>
        <w:pStyle w:val="Listenabsatz"/>
        <w:numPr>
          <w:ilvl w:val="0"/>
          <w:numId w:val="29"/>
        </w:numPr>
        <w:spacing w:line="276" w:lineRule="auto"/>
        <w:jc w:val="both"/>
      </w:pPr>
      <w:r w:rsidRPr="007735F7">
        <w:t>Nr. 4.1 Vergütung nach Aufwand</w:t>
      </w:r>
    </w:p>
    <w:p w14:paraId="0622F0EE" w14:textId="77777777" w:rsidR="00801F1A" w:rsidRPr="007735F7" w:rsidRDefault="00801F1A" w:rsidP="007735F7">
      <w:pPr>
        <w:pStyle w:val="Listenabsatz"/>
        <w:numPr>
          <w:ilvl w:val="0"/>
          <w:numId w:val="29"/>
        </w:numPr>
        <w:spacing w:after="200" w:line="276" w:lineRule="auto"/>
        <w:jc w:val="both"/>
      </w:pPr>
      <w:r w:rsidRPr="007735F7">
        <w:t>Nr. 4.1.5 Fälligkeit und Zahlung</w:t>
      </w:r>
    </w:p>
    <w:p w14:paraId="62FA36F1" w14:textId="0310DF18" w:rsidR="007735F7" w:rsidRPr="007735F7" w:rsidRDefault="007735F7" w:rsidP="007735F7">
      <w:pPr>
        <w:pStyle w:val="Listenabsatz"/>
        <w:numPr>
          <w:ilvl w:val="0"/>
          <w:numId w:val="29"/>
        </w:numPr>
        <w:spacing w:line="276" w:lineRule="auto"/>
        <w:jc w:val="both"/>
      </w:pPr>
      <w:r w:rsidRPr="007735F7">
        <w:rPr>
          <w:rStyle w:val="Hervorhebung"/>
        </w:rPr>
        <w:t>Nr. 13.1 Datenschutz/Geheimhaltung und Sicherheit</w:t>
      </w:r>
    </w:p>
    <w:p w14:paraId="2244F63A" w14:textId="77777777" w:rsidR="00ED2357" w:rsidRPr="007735F7" w:rsidRDefault="00ED2357" w:rsidP="007735F7">
      <w:pPr>
        <w:pStyle w:val="Listenabsatz"/>
        <w:numPr>
          <w:ilvl w:val="0"/>
          <w:numId w:val="29"/>
        </w:numPr>
        <w:spacing w:line="276" w:lineRule="auto"/>
        <w:contextualSpacing w:val="0"/>
        <w:jc w:val="both"/>
      </w:pPr>
      <w:r w:rsidRPr="007735F7">
        <w:t>Sonstige Vereinbarungen</w:t>
      </w:r>
    </w:p>
    <w:p w14:paraId="3AE24723" w14:textId="77777777" w:rsidR="00ED2357" w:rsidRPr="007735F7" w:rsidRDefault="00ED2357" w:rsidP="007735F7">
      <w:pPr>
        <w:pStyle w:val="Umschlagabsenderadresse"/>
        <w:spacing w:line="276" w:lineRule="auto"/>
        <w:jc w:val="both"/>
        <w:rPr>
          <w:b/>
          <w:u w:val="single"/>
        </w:rPr>
      </w:pPr>
    </w:p>
    <w:p w14:paraId="159AF4F1" w14:textId="2EE4A1BC" w:rsidR="00ED2357" w:rsidRPr="007735F7" w:rsidRDefault="00ED2357" w:rsidP="007735F7">
      <w:pPr>
        <w:pStyle w:val="Umschlagabsenderadresse"/>
        <w:spacing w:line="276" w:lineRule="auto"/>
        <w:jc w:val="both"/>
        <w:rPr>
          <w:b/>
          <w:u w:val="single"/>
        </w:rPr>
      </w:pPr>
      <w:r w:rsidRPr="007735F7">
        <w:rPr>
          <w:b/>
          <w:u w:val="single"/>
        </w:rPr>
        <w:t>Ergänzende Leistungsbeschreibung</w:t>
      </w:r>
    </w:p>
    <w:p w14:paraId="50A4888F" w14:textId="4EB4DBAB" w:rsidR="00ED2357" w:rsidRPr="007735F7" w:rsidRDefault="00ED2357" w:rsidP="007735F7">
      <w:pPr>
        <w:pStyle w:val="NurText"/>
        <w:spacing w:line="276" w:lineRule="auto"/>
        <w:jc w:val="both"/>
      </w:pPr>
      <w:r w:rsidRPr="007735F7">
        <w:t xml:space="preserve">Aktuell wird der geförderte Glasfaserausbau durch den lokalen Energieversorger, die medl GmbH, ausgeführt. Damit werden alle Mülheimer Schulen an das Breitband Glasfasernetz physikalisch angeschlossen. Der Anschluss erfolgt in den Schulen nicht </w:t>
      </w:r>
      <w:r w:rsidR="00801F1A" w:rsidRPr="007735F7">
        <w:t>zeitgleich,</w:t>
      </w:r>
      <w:r w:rsidRPr="007735F7">
        <w:t xml:space="preserve"> sondern anhand des Fortschritts des Gesamtausbaus durch die medl GmbH über das gesamte Stadtgebiet. </w:t>
      </w:r>
    </w:p>
    <w:p w14:paraId="431A3446" w14:textId="480642A6" w:rsidR="00801F1A" w:rsidRPr="007735F7" w:rsidRDefault="00801F1A" w:rsidP="007735F7">
      <w:pPr>
        <w:pStyle w:val="NurText"/>
        <w:spacing w:line="276" w:lineRule="auto"/>
        <w:jc w:val="both"/>
      </w:pPr>
      <w:r w:rsidRPr="007735F7">
        <w:t>Der Anschluss soll jeweils ab Fertigstellung des physikalischen Glasfaserausbaus erfolgen. Der Anschluss aller Standorte erfolgt somit nicht zeitgleich, sondern sukzessive.</w:t>
      </w:r>
    </w:p>
    <w:p w14:paraId="741A0AA9" w14:textId="746A29EA" w:rsidR="00801F1A" w:rsidRPr="007735F7" w:rsidRDefault="00801F1A" w:rsidP="007735F7">
      <w:pPr>
        <w:pStyle w:val="NurText"/>
        <w:spacing w:line="276" w:lineRule="auto"/>
        <w:jc w:val="both"/>
      </w:pPr>
      <w:r w:rsidRPr="007735F7">
        <w:t>Hierfür werden folgende Tarife/Leistungsstufen benöti</w:t>
      </w:r>
      <w:r w:rsidR="00CD5760">
        <w:t>gt. Bei den nachfolgend genannten Geschwindigkeiten handelt es sich um Mindestwerte:</w:t>
      </w:r>
    </w:p>
    <w:p w14:paraId="3A8041AB" w14:textId="77777777" w:rsidR="00801F1A" w:rsidRPr="007735F7" w:rsidRDefault="00801F1A" w:rsidP="007735F7">
      <w:pPr>
        <w:pStyle w:val="NurText"/>
        <w:spacing w:line="276" w:lineRule="auto"/>
        <w:jc w:val="both"/>
      </w:pPr>
    </w:p>
    <w:p w14:paraId="4D067632" w14:textId="03C7E88A" w:rsidR="00801F1A" w:rsidRPr="007735F7" w:rsidRDefault="00DB45C0" w:rsidP="007735F7">
      <w:pPr>
        <w:pStyle w:val="NurText"/>
        <w:spacing w:line="276" w:lineRule="auto"/>
        <w:jc w:val="both"/>
      </w:pPr>
      <w:r>
        <w:t>3</w:t>
      </w:r>
      <w:r w:rsidR="00423C79">
        <w:t>1</w:t>
      </w:r>
      <w:r>
        <w:t xml:space="preserve"> </w:t>
      </w:r>
      <w:r w:rsidR="00801F1A" w:rsidRPr="007735F7">
        <w:t>Schulstandorte</w:t>
      </w:r>
      <w:r>
        <w:t xml:space="preserve"> (</w:t>
      </w:r>
      <w:r w:rsidR="00423C79">
        <w:t>zzgl. 2 x</w:t>
      </w:r>
      <w:r>
        <w:t xml:space="preserve"> Reserv</w:t>
      </w:r>
      <w:r w:rsidR="005F0188">
        <w:t>e</w:t>
      </w:r>
      <w:r>
        <w:t>)</w:t>
      </w:r>
      <w:r w:rsidR="00801F1A" w:rsidRPr="007735F7">
        <w:t>: 600Mbit/s Download / 200Mbit/s Upload</w:t>
      </w:r>
    </w:p>
    <w:p w14:paraId="04F485BD" w14:textId="5A4A3FF2" w:rsidR="00801F1A" w:rsidRDefault="005F0188" w:rsidP="007735F7">
      <w:pPr>
        <w:pStyle w:val="NurText"/>
        <w:spacing w:line="276" w:lineRule="auto"/>
        <w:jc w:val="both"/>
      </w:pPr>
      <w:r>
        <w:t>1</w:t>
      </w:r>
      <w:r w:rsidR="00423C79">
        <w:t>0</w:t>
      </w:r>
      <w:r>
        <w:t xml:space="preserve"> </w:t>
      </w:r>
      <w:r w:rsidR="00801F1A" w:rsidRPr="007735F7">
        <w:t>Schulstandorte</w:t>
      </w:r>
      <w:r>
        <w:t xml:space="preserve"> (</w:t>
      </w:r>
      <w:r w:rsidR="00423C79">
        <w:t>zzgl. 2 x</w:t>
      </w:r>
      <w:r>
        <w:t xml:space="preserve"> Reserve)</w:t>
      </w:r>
      <w:r w:rsidR="00801F1A" w:rsidRPr="007735F7">
        <w:t xml:space="preserve">: 1.000Mbit/s Download / </w:t>
      </w:r>
      <w:r w:rsidR="003569FC">
        <w:t>500</w:t>
      </w:r>
      <w:r w:rsidR="00801F1A" w:rsidRPr="007735F7">
        <w:t>Mbit/s Upload</w:t>
      </w:r>
    </w:p>
    <w:p w14:paraId="6500A9E5" w14:textId="77777777" w:rsidR="00F87B70" w:rsidRDefault="00F87B70" w:rsidP="007735F7">
      <w:pPr>
        <w:pStyle w:val="NurText"/>
        <w:spacing w:line="276" w:lineRule="auto"/>
        <w:jc w:val="both"/>
      </w:pPr>
    </w:p>
    <w:p w14:paraId="1B016C66" w14:textId="4BD17838" w:rsidR="00F87B70" w:rsidRDefault="00F87B70" w:rsidP="00F87B70">
      <w:pPr>
        <w:pStyle w:val="NurText"/>
        <w:spacing w:line="360" w:lineRule="auto"/>
        <w:jc w:val="both"/>
        <w:rPr>
          <w:b/>
          <w:bCs/>
          <w:u w:val="single"/>
        </w:rPr>
      </w:pPr>
      <w:r>
        <w:rPr>
          <w:b/>
          <w:bCs/>
          <w:u w:val="single"/>
        </w:rPr>
        <w:t>Vertragslaufzeit:</w:t>
      </w:r>
    </w:p>
    <w:p w14:paraId="4A3FBB20" w14:textId="4DB96CBF" w:rsidR="00966BB9" w:rsidRDefault="00966BB9" w:rsidP="00966BB9">
      <w:pPr>
        <w:spacing w:after="160" w:line="360" w:lineRule="auto"/>
        <w:contextualSpacing/>
        <w:jc w:val="both"/>
      </w:pPr>
      <w:r>
        <w:t xml:space="preserve">Vereinbart wird eine </w:t>
      </w:r>
      <w:r w:rsidR="004C2A24">
        <w:t xml:space="preserve">Rahmenvereinbarung mit einer </w:t>
      </w:r>
      <w:r>
        <w:t>Mindestdauer von 48 Monaten, beginnend ab dem 01.</w:t>
      </w:r>
      <w:r w:rsidR="00ED4BD9">
        <w:t>10</w:t>
      </w:r>
      <w:r>
        <w:t>.2025. Die Mindestlaufzeit endet zum 3</w:t>
      </w:r>
      <w:r w:rsidR="00ED4BD9">
        <w:t>0</w:t>
      </w:r>
      <w:r>
        <w:t>.</w:t>
      </w:r>
      <w:r w:rsidR="00ED4BD9">
        <w:t>09</w:t>
      </w:r>
      <w:r>
        <w:t>.2029. Nach Ablauf der Mindestdauer muss ein Folgevertrag vere</w:t>
      </w:r>
      <w:r w:rsidR="00B84DEB">
        <w:t>i</w:t>
      </w:r>
      <w:r>
        <w:t xml:space="preserve">nbart werden. </w:t>
      </w:r>
    </w:p>
    <w:p w14:paraId="64B365DD" w14:textId="77777777" w:rsidR="00F463CB" w:rsidRDefault="00F463CB" w:rsidP="007735F7">
      <w:pPr>
        <w:pStyle w:val="NurText"/>
        <w:spacing w:line="276" w:lineRule="auto"/>
        <w:jc w:val="both"/>
      </w:pPr>
    </w:p>
    <w:p w14:paraId="2C5EBDFC" w14:textId="4FA9179F" w:rsidR="00F463CB" w:rsidRPr="00F463CB" w:rsidRDefault="00F463CB" w:rsidP="007735F7">
      <w:pPr>
        <w:pStyle w:val="NurText"/>
        <w:spacing w:line="276" w:lineRule="auto"/>
        <w:jc w:val="both"/>
        <w:rPr>
          <w:b/>
          <w:u w:val="single"/>
        </w:rPr>
      </w:pPr>
      <w:r w:rsidRPr="00F463CB">
        <w:rPr>
          <w:b/>
          <w:u w:val="single"/>
        </w:rPr>
        <w:t>Standorte:</w:t>
      </w:r>
    </w:p>
    <w:tbl>
      <w:tblPr>
        <w:tblW w:w="5000" w:type="pct"/>
        <w:tblCellMar>
          <w:left w:w="70" w:type="dxa"/>
          <w:right w:w="70" w:type="dxa"/>
        </w:tblCellMar>
        <w:tblLook w:val="04A0" w:firstRow="1" w:lastRow="0" w:firstColumn="1" w:lastColumn="0" w:noHBand="0" w:noVBand="1"/>
      </w:tblPr>
      <w:tblGrid>
        <w:gridCol w:w="1299"/>
        <w:gridCol w:w="4307"/>
        <w:gridCol w:w="3465"/>
      </w:tblGrid>
      <w:tr w:rsidR="00F463CB" w:rsidRPr="00021D6B" w14:paraId="2746856C" w14:textId="77777777" w:rsidTr="00965E5A">
        <w:trPr>
          <w:trHeight w:val="290"/>
        </w:trPr>
        <w:tc>
          <w:tcPr>
            <w:tcW w:w="716" w:type="pct"/>
            <w:tcBorders>
              <w:top w:val="nil"/>
              <w:left w:val="nil"/>
              <w:bottom w:val="single" w:sz="12" w:space="0" w:color="FFFFFF"/>
              <w:right w:val="single" w:sz="4" w:space="0" w:color="FFFFFF"/>
            </w:tcBorders>
            <w:shd w:val="clear" w:color="000000" w:fill="000000"/>
            <w:noWrap/>
            <w:vAlign w:val="bottom"/>
            <w:hideMark/>
          </w:tcPr>
          <w:p w14:paraId="70025C4E" w14:textId="77777777" w:rsidR="00F463CB" w:rsidRPr="00021D6B" w:rsidRDefault="00F463CB" w:rsidP="00965E5A">
            <w:pPr>
              <w:rPr>
                <w:rFonts w:ascii="Aptos Narrow" w:hAnsi="Aptos Narrow"/>
                <w:b/>
                <w:bCs/>
                <w:color w:val="FFFFFF"/>
                <w:sz w:val="22"/>
                <w:szCs w:val="22"/>
              </w:rPr>
            </w:pPr>
            <w:r w:rsidRPr="00021D6B">
              <w:rPr>
                <w:rFonts w:ascii="Aptos Narrow" w:hAnsi="Aptos Narrow"/>
                <w:b/>
                <w:bCs/>
                <w:color w:val="FFFFFF"/>
                <w:sz w:val="22"/>
                <w:szCs w:val="22"/>
              </w:rPr>
              <w:t>Schul-ID</w:t>
            </w:r>
          </w:p>
        </w:tc>
        <w:tc>
          <w:tcPr>
            <w:tcW w:w="2374" w:type="pct"/>
            <w:tcBorders>
              <w:top w:val="nil"/>
              <w:left w:val="single" w:sz="4" w:space="0" w:color="FFFFFF"/>
              <w:bottom w:val="single" w:sz="12" w:space="0" w:color="FFFFFF"/>
              <w:right w:val="single" w:sz="4" w:space="0" w:color="FFFFFF"/>
            </w:tcBorders>
            <w:shd w:val="clear" w:color="000000" w:fill="000000"/>
            <w:noWrap/>
            <w:vAlign w:val="bottom"/>
            <w:hideMark/>
          </w:tcPr>
          <w:p w14:paraId="259C1BAE" w14:textId="28633F0D" w:rsidR="00F463CB" w:rsidRPr="00021D6B" w:rsidRDefault="00F463CB" w:rsidP="00965E5A">
            <w:pPr>
              <w:rPr>
                <w:rFonts w:ascii="Aptos Narrow" w:hAnsi="Aptos Narrow"/>
                <w:b/>
                <w:bCs/>
                <w:color w:val="FFFFFF"/>
                <w:sz w:val="22"/>
                <w:szCs w:val="22"/>
              </w:rPr>
            </w:pPr>
            <w:r w:rsidRPr="00021D6B">
              <w:rPr>
                <w:rFonts w:ascii="Aptos Narrow" w:hAnsi="Aptos Narrow"/>
                <w:b/>
                <w:bCs/>
                <w:color w:val="FFFFFF"/>
                <w:sz w:val="22"/>
                <w:szCs w:val="22"/>
              </w:rPr>
              <w:t>Schul</w:t>
            </w:r>
            <w:r w:rsidR="00B47412">
              <w:rPr>
                <w:rFonts w:ascii="Aptos Narrow" w:hAnsi="Aptos Narrow"/>
                <w:b/>
                <w:bCs/>
                <w:color w:val="FFFFFF"/>
                <w:sz w:val="22"/>
                <w:szCs w:val="22"/>
              </w:rPr>
              <w:t>standort</w:t>
            </w:r>
          </w:p>
        </w:tc>
        <w:tc>
          <w:tcPr>
            <w:tcW w:w="1910" w:type="pct"/>
            <w:tcBorders>
              <w:top w:val="nil"/>
              <w:left w:val="single" w:sz="4" w:space="0" w:color="FFFFFF"/>
              <w:bottom w:val="single" w:sz="12" w:space="0" w:color="FFFFFF"/>
              <w:right w:val="nil"/>
            </w:tcBorders>
            <w:shd w:val="clear" w:color="000000" w:fill="000000"/>
            <w:noWrap/>
            <w:vAlign w:val="bottom"/>
            <w:hideMark/>
          </w:tcPr>
          <w:p w14:paraId="70DE9D54" w14:textId="78E74A0C" w:rsidR="00F463CB" w:rsidRPr="00021D6B" w:rsidRDefault="00B47412" w:rsidP="00965E5A">
            <w:pPr>
              <w:rPr>
                <w:rFonts w:ascii="Aptos Narrow" w:hAnsi="Aptos Narrow"/>
                <w:b/>
                <w:bCs/>
                <w:color w:val="FFFFFF"/>
                <w:sz w:val="22"/>
                <w:szCs w:val="22"/>
              </w:rPr>
            </w:pPr>
            <w:r>
              <w:rPr>
                <w:rFonts w:ascii="Aptos Narrow" w:hAnsi="Aptos Narrow"/>
                <w:b/>
                <w:bCs/>
                <w:color w:val="FFFFFF"/>
                <w:sz w:val="22"/>
                <w:szCs w:val="22"/>
              </w:rPr>
              <w:t>Anschrift</w:t>
            </w:r>
          </w:p>
        </w:tc>
      </w:tr>
      <w:tr w:rsidR="00F463CB" w:rsidRPr="00021D6B" w14:paraId="17B87167"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577934E8"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5FEF9CB8"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Filchnerstraße</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065C2307"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Filchnerstraße 21</w:t>
            </w:r>
          </w:p>
        </w:tc>
      </w:tr>
      <w:tr w:rsidR="00F463CB" w:rsidRPr="00021D6B" w14:paraId="1FD1641C"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19E33631"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2</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3CA2AB00"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Heinrichstraße</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4786F77D"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August-Schmidt-Straße 30</w:t>
            </w:r>
          </w:p>
        </w:tc>
      </w:tr>
      <w:tr w:rsidR="00F463CB" w:rsidRPr="00021D6B" w14:paraId="55FF83BB"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3EFA36A7"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3</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200F6C27"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Hölterschule</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0AB4D296"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Tilsitter Straße 20</w:t>
            </w:r>
          </w:p>
        </w:tc>
      </w:tr>
      <w:tr w:rsidR="00F463CB" w:rsidRPr="00021D6B" w14:paraId="6ACE1D2C"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466D8276"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4</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7232C76D"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Schule am Dichterviertel</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21198348"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Bruchstraße 85</w:t>
            </w:r>
          </w:p>
        </w:tc>
      </w:tr>
      <w:tr w:rsidR="00F463CB" w:rsidRPr="00021D6B" w14:paraId="45C04B65"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00420DC9"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5</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0117819C"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Sunderplatz</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7DD3E9E1"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Sunderweg 90</w:t>
            </w:r>
          </w:p>
        </w:tc>
      </w:tr>
      <w:tr w:rsidR="00F463CB" w:rsidRPr="00021D6B" w14:paraId="5B7BC40A"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7D193B14"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6</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4BFC62DB"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Trooststraße</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2C693750"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Trooststraße 6</w:t>
            </w:r>
          </w:p>
        </w:tc>
      </w:tr>
      <w:tr w:rsidR="00F463CB" w:rsidRPr="00021D6B" w14:paraId="3002FA07"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361C9484"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7</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017A607A"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Zunftmeisterstraße</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4ED3D799"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Zunftmeisterstraße 21-25</w:t>
            </w:r>
          </w:p>
        </w:tc>
      </w:tr>
      <w:tr w:rsidR="00F463CB" w:rsidRPr="00021D6B" w14:paraId="3FD06CFF"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7D3E9DA1"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8</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66322771"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Martin von Tours Schule</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2D2000EE"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Eduardstraße 6 / Muhrenkamp 70</w:t>
            </w:r>
          </w:p>
        </w:tc>
      </w:tr>
      <w:tr w:rsidR="00F463CB" w:rsidRPr="00021D6B" w14:paraId="7985A8CD"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39F257DE"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lastRenderedPageBreak/>
              <w:t>9</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2121A256"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KGS Schildbergschule</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225D8A0C"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Schildberg 55</w:t>
            </w:r>
          </w:p>
        </w:tc>
      </w:tr>
      <w:tr w:rsidR="00F463CB" w:rsidRPr="00021D6B" w14:paraId="26FF2F9E"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17A9B464"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10</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647A13CD"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Brüder Grimm Schule</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3A569782"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Zastrowstraße 19-21</w:t>
            </w:r>
          </w:p>
        </w:tc>
      </w:tr>
      <w:tr w:rsidR="00F463CB" w:rsidRPr="00021D6B" w14:paraId="1DDC5784"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26D28EA0"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10</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76B65BE0"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Brüder Grimm Schule</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4CEF92B7"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Fröbelstraße 6</w:t>
            </w:r>
          </w:p>
        </w:tc>
      </w:tr>
      <w:tr w:rsidR="00F463CB" w:rsidRPr="00021D6B" w14:paraId="0513A312"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29161F0C"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11</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50B1DCC2"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Styrum</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526EF0AB"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Augustastraße 92</w:t>
            </w:r>
          </w:p>
        </w:tc>
      </w:tr>
      <w:tr w:rsidR="00F463CB" w:rsidRPr="00021D6B" w14:paraId="16B6A497"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5D639FEF"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11</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51FB8F15"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Styrum</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3AACEAC0"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Meißelstraße 28</w:t>
            </w:r>
          </w:p>
        </w:tc>
      </w:tr>
      <w:tr w:rsidR="00F463CB" w:rsidRPr="00021D6B" w14:paraId="55F6829B"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77D4EA5A"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12</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3E2F730F"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Steigerweg</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3D5DE3BC"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Steigerweg 3</w:t>
            </w:r>
          </w:p>
        </w:tc>
      </w:tr>
      <w:tr w:rsidR="00F463CB" w:rsidRPr="00021D6B" w14:paraId="5CACB6F3"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6CFD4FF2"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13</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4CF0D65F"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Astrid Lindgren Schule</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4E5CE43C"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Mellinghofer Straße 56</w:t>
            </w:r>
          </w:p>
        </w:tc>
      </w:tr>
      <w:tr w:rsidR="00F463CB" w:rsidRPr="00021D6B" w14:paraId="391A0C7E"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68F36A5B"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14</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5D441C58"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Barbaraschule</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19003C67"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Barbarastraße 30</w:t>
            </w:r>
          </w:p>
        </w:tc>
      </w:tr>
      <w:tr w:rsidR="00F463CB" w:rsidRPr="00021D6B" w14:paraId="2EEAC969"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375E05C8"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15</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2D10927D"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Erich Kästner Schule</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6FD08E2A"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Nordstraße 85</w:t>
            </w:r>
          </w:p>
        </w:tc>
      </w:tr>
      <w:tr w:rsidR="00F463CB" w:rsidRPr="00021D6B" w14:paraId="1F777B61"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003D8735"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16</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5378A95C"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Lierbergschule</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57061599"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Saarner Straße 343</w:t>
            </w:r>
          </w:p>
        </w:tc>
      </w:tr>
      <w:tr w:rsidR="00F463CB" w:rsidRPr="00021D6B" w14:paraId="4C48DB3A"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45C50830"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16</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32D7EC02"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Lierbergschule</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2085E903"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Blötter Weg 45</w:t>
            </w:r>
          </w:p>
        </w:tc>
      </w:tr>
      <w:tr w:rsidR="00F463CB" w:rsidRPr="00021D6B" w14:paraId="6D99AB32"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220F1052"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17</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36F1E1DF"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Oemberg</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7872F7CF"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Karl-Forst-Straße 10</w:t>
            </w:r>
          </w:p>
        </w:tc>
      </w:tr>
      <w:tr w:rsidR="00F463CB" w:rsidRPr="00021D6B" w14:paraId="7A1C2840"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3B4985B1"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17</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0E9A99C4"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Oemberg</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5C09AC19"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Elsenborner Weg 10-12</w:t>
            </w:r>
          </w:p>
        </w:tc>
      </w:tr>
      <w:tr w:rsidR="00F463CB" w:rsidRPr="00021D6B" w14:paraId="7F456491"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2541120B"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18</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4C5DEDF6"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Pestalozzischule</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4A7ED886"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Bülowstraße 31-33</w:t>
            </w:r>
          </w:p>
        </w:tc>
      </w:tr>
      <w:tr w:rsidR="00F463CB" w:rsidRPr="00021D6B" w14:paraId="5306A4AF"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2430115A"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19</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63167B24"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Saarnberg</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707EFEEC"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Saarnberg 6</w:t>
            </w:r>
          </w:p>
        </w:tc>
      </w:tr>
      <w:tr w:rsidR="00F463CB" w:rsidRPr="00021D6B" w14:paraId="504A6F87"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40E8BEA4"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20</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3BE67717"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Katharinenschule</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13737B36"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Frühlingsstraße 45</w:t>
            </w:r>
          </w:p>
        </w:tc>
      </w:tr>
      <w:tr w:rsidR="00F463CB" w:rsidRPr="00021D6B" w14:paraId="0CAB0544"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52A56EA0"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21</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2F91CF23"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Klostermarkt</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07C4317C"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Klostermarkt 5-9</w:t>
            </w:r>
          </w:p>
        </w:tc>
      </w:tr>
      <w:tr w:rsidR="00F463CB" w:rsidRPr="00021D6B" w14:paraId="33133C06"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17F5C36B"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22</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4A569ED0"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GGS Krähenbüschken</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78175B37"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Strippchens Hof 20</w:t>
            </w:r>
          </w:p>
        </w:tc>
      </w:tr>
      <w:tr w:rsidR="00F463CB" w:rsidRPr="00021D6B" w14:paraId="553C33F9"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03F29384"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23</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0C11E08F"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FS Rembergschule</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24E08ADE"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Rembergstraße 7</w:t>
            </w:r>
          </w:p>
        </w:tc>
      </w:tr>
      <w:tr w:rsidR="00F463CB" w:rsidRPr="00021D6B" w14:paraId="27AACC98"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01A2C2AF"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24</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5C136447"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FS Ruhrstadtschule</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6EFAD42E"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Springweg 21-23</w:t>
            </w:r>
          </w:p>
        </w:tc>
      </w:tr>
      <w:tr w:rsidR="00F463CB" w:rsidRPr="00021D6B" w14:paraId="02A0EA77"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5E779BA3"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24</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2D9AB3CD"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FS Ruhrstadtschule</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22F0956B"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Klotzdelle 3</w:t>
            </w:r>
          </w:p>
        </w:tc>
      </w:tr>
      <w:tr w:rsidR="00F463CB" w:rsidRPr="00021D6B" w14:paraId="39C0652D"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724F7A5E"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25</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6E166F9E"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HS Hauptschule am Hexbachtal</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6DC500E6"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Borbecker Straße 86-92</w:t>
            </w:r>
          </w:p>
        </w:tc>
      </w:tr>
      <w:tr w:rsidR="00F463CB" w:rsidRPr="00021D6B" w14:paraId="5760CEC5"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24F63F4C"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25</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15E7192F"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HS Hauptschule am Hexbachtal</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5DBDD9FE"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Gathestraße 11</w:t>
            </w:r>
          </w:p>
        </w:tc>
      </w:tr>
      <w:tr w:rsidR="00F463CB" w:rsidRPr="00021D6B" w14:paraId="76A4D47E"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37E9522E"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25</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0D0276CC"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HS Hauptschule am Hexbachtal</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3294198C"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Sanders Hof 7</w:t>
            </w:r>
          </w:p>
        </w:tc>
      </w:tr>
      <w:tr w:rsidR="00F463CB" w:rsidRPr="00021D6B" w14:paraId="4956734D"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2C78CE4D"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26</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318F226F"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Realschule Broich</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5B28DA95"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Holzstraße 80</w:t>
            </w:r>
          </w:p>
        </w:tc>
      </w:tr>
      <w:tr w:rsidR="00F463CB" w:rsidRPr="00021D6B" w14:paraId="298E7D5F"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14921D67"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27</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447EB662"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Realschule Mellinghofer Straße</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4C27AFC2"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Mellinghofer Straße 56</w:t>
            </w:r>
          </w:p>
        </w:tc>
      </w:tr>
      <w:tr w:rsidR="00F463CB" w:rsidRPr="00021D6B" w14:paraId="64CED79F"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3B72836D"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29</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3328C324"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Gymnasium Heißen</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3DD30E0D"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Kleiststraße 50</w:t>
            </w:r>
          </w:p>
        </w:tc>
      </w:tr>
      <w:tr w:rsidR="00F463CB" w:rsidRPr="00021D6B" w14:paraId="7CAB4241"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6E32D2DD"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30</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2ED05BE7"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Gymnasium Broich</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0A626AE3"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Ritterstraße 21</w:t>
            </w:r>
          </w:p>
        </w:tc>
      </w:tr>
      <w:tr w:rsidR="00F463CB" w:rsidRPr="00021D6B" w14:paraId="19F18B4F"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2C52323B"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33</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685DC504"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Gymnasium Otto Pankok Schule</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705C2482"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Von-Bock-Straße 81</w:t>
            </w:r>
          </w:p>
        </w:tc>
      </w:tr>
      <w:tr w:rsidR="00F463CB" w:rsidRPr="00021D6B" w14:paraId="07716437"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627A27BE"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34</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0353A042"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Gesamtschule Gustav Heinemann Schule</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3A37BD99"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Boverstraße 150</w:t>
            </w:r>
          </w:p>
        </w:tc>
      </w:tr>
      <w:tr w:rsidR="00F463CB" w:rsidRPr="00021D6B" w14:paraId="77C797F8"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241E3CFE"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35</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371699CA"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Gesamtschule Saarn</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7916B917"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Lehnerstraße 65</w:t>
            </w:r>
          </w:p>
        </w:tc>
      </w:tr>
      <w:tr w:rsidR="00F463CB" w:rsidRPr="00021D6B" w14:paraId="6F0260EF"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3F1E0599"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36</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7DC985D6"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Gesamtschule Willy Brandt Schule</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372058FB"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Willy-Brandt-Platz 1-2</w:t>
            </w:r>
          </w:p>
        </w:tc>
      </w:tr>
      <w:tr w:rsidR="00F463CB" w:rsidRPr="00021D6B" w14:paraId="31466584" w14:textId="77777777" w:rsidTr="00965E5A">
        <w:trPr>
          <w:trHeight w:val="290"/>
        </w:trPr>
        <w:tc>
          <w:tcPr>
            <w:tcW w:w="716" w:type="pct"/>
            <w:tcBorders>
              <w:top w:val="single" w:sz="4" w:space="0" w:color="FFFFFF"/>
              <w:left w:val="nil"/>
              <w:bottom w:val="single" w:sz="4" w:space="0" w:color="FFFFFF"/>
              <w:right w:val="single" w:sz="4" w:space="0" w:color="FFFFFF"/>
            </w:tcBorders>
            <w:shd w:val="clear" w:color="A6A6A6" w:fill="A6A6A6"/>
            <w:noWrap/>
            <w:vAlign w:val="bottom"/>
            <w:hideMark/>
          </w:tcPr>
          <w:p w14:paraId="43B8A38E"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37</w:t>
            </w:r>
          </w:p>
        </w:tc>
        <w:tc>
          <w:tcPr>
            <w:tcW w:w="2374" w:type="pct"/>
            <w:tcBorders>
              <w:top w:val="single" w:sz="4" w:space="0" w:color="FFFFFF"/>
              <w:left w:val="single" w:sz="4" w:space="0" w:color="FFFFFF"/>
              <w:bottom w:val="single" w:sz="4" w:space="0" w:color="FFFFFF"/>
              <w:right w:val="single" w:sz="4" w:space="0" w:color="FFFFFF"/>
            </w:tcBorders>
            <w:shd w:val="clear" w:color="A6A6A6" w:fill="A6A6A6"/>
            <w:noWrap/>
            <w:vAlign w:val="bottom"/>
            <w:hideMark/>
          </w:tcPr>
          <w:p w14:paraId="1D675189"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Berufskolleg Stadtmitte</w:t>
            </w:r>
          </w:p>
        </w:tc>
        <w:tc>
          <w:tcPr>
            <w:tcW w:w="1910" w:type="pct"/>
            <w:tcBorders>
              <w:top w:val="single" w:sz="4" w:space="0" w:color="FFFFFF"/>
              <w:left w:val="single" w:sz="4" w:space="0" w:color="FFFFFF"/>
              <w:bottom w:val="single" w:sz="4" w:space="0" w:color="FFFFFF"/>
              <w:right w:val="nil"/>
            </w:tcBorders>
            <w:shd w:val="clear" w:color="A6A6A6" w:fill="A6A6A6"/>
            <w:noWrap/>
            <w:vAlign w:val="bottom"/>
            <w:hideMark/>
          </w:tcPr>
          <w:p w14:paraId="1FAFAB2B"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von Bock Straße 87-89</w:t>
            </w:r>
          </w:p>
        </w:tc>
      </w:tr>
      <w:tr w:rsidR="00F463CB" w:rsidRPr="00021D6B" w14:paraId="13F20C8E" w14:textId="77777777" w:rsidTr="008762AC">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hideMark/>
          </w:tcPr>
          <w:p w14:paraId="74B14B12" w14:textId="77777777" w:rsidR="00F463CB" w:rsidRPr="00021D6B" w:rsidRDefault="00F463CB" w:rsidP="00965E5A">
            <w:pPr>
              <w:jc w:val="right"/>
              <w:rPr>
                <w:rFonts w:ascii="Aptos Narrow" w:hAnsi="Aptos Narrow"/>
                <w:sz w:val="22"/>
                <w:szCs w:val="22"/>
              </w:rPr>
            </w:pPr>
            <w:r w:rsidRPr="00021D6B">
              <w:rPr>
                <w:rFonts w:ascii="Aptos Narrow" w:hAnsi="Aptos Narrow"/>
                <w:sz w:val="22"/>
                <w:szCs w:val="22"/>
              </w:rPr>
              <w:t>38</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hideMark/>
          </w:tcPr>
          <w:p w14:paraId="5099F4BD"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Berufskolleg Lehnerstraße</w:t>
            </w:r>
          </w:p>
        </w:tc>
        <w:tc>
          <w:tcPr>
            <w:tcW w:w="1910" w:type="pct"/>
            <w:tcBorders>
              <w:top w:val="single" w:sz="4" w:space="0" w:color="FFFFFF"/>
              <w:left w:val="single" w:sz="4" w:space="0" w:color="FFFFFF"/>
              <w:bottom w:val="single" w:sz="4" w:space="0" w:color="FFFFFF"/>
              <w:right w:val="nil"/>
            </w:tcBorders>
            <w:shd w:val="clear" w:color="D9D9D9" w:fill="D9D9D9"/>
            <w:noWrap/>
            <w:vAlign w:val="bottom"/>
            <w:hideMark/>
          </w:tcPr>
          <w:p w14:paraId="3D4ED299" w14:textId="77777777" w:rsidR="00F463CB" w:rsidRPr="00021D6B" w:rsidRDefault="00F463CB" w:rsidP="00965E5A">
            <w:pPr>
              <w:rPr>
                <w:rFonts w:ascii="Aptos Narrow" w:hAnsi="Aptos Narrow"/>
                <w:sz w:val="22"/>
                <w:szCs w:val="22"/>
              </w:rPr>
            </w:pPr>
            <w:r w:rsidRPr="00021D6B">
              <w:rPr>
                <w:rFonts w:ascii="Aptos Narrow" w:hAnsi="Aptos Narrow"/>
                <w:sz w:val="22"/>
                <w:szCs w:val="22"/>
              </w:rPr>
              <w:t>Lehnerstraße 67</w:t>
            </w:r>
          </w:p>
        </w:tc>
      </w:tr>
      <w:tr w:rsidR="008762AC" w:rsidRPr="00021D6B" w14:paraId="01B11D3F" w14:textId="77777777" w:rsidTr="008762AC">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tcPr>
          <w:p w14:paraId="541EB834" w14:textId="1B574DCE" w:rsidR="008762AC" w:rsidRPr="00021D6B" w:rsidRDefault="008762AC" w:rsidP="00965E5A">
            <w:pPr>
              <w:jc w:val="right"/>
              <w:rPr>
                <w:rFonts w:ascii="Aptos Narrow" w:hAnsi="Aptos Narrow"/>
                <w:sz w:val="22"/>
                <w:szCs w:val="22"/>
              </w:rPr>
            </w:pPr>
            <w:r>
              <w:rPr>
                <w:rFonts w:ascii="Aptos Narrow" w:hAnsi="Aptos Narrow"/>
                <w:sz w:val="22"/>
                <w:szCs w:val="22"/>
              </w:rPr>
              <w:t>NN</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tcPr>
          <w:p w14:paraId="398D93A9" w14:textId="02BB983D" w:rsidR="008762AC" w:rsidRPr="00021D6B" w:rsidRDefault="008762AC" w:rsidP="00965E5A">
            <w:pPr>
              <w:rPr>
                <w:rFonts w:ascii="Aptos Narrow" w:hAnsi="Aptos Narrow"/>
                <w:sz w:val="22"/>
                <w:szCs w:val="22"/>
              </w:rPr>
            </w:pPr>
            <w:r>
              <w:rPr>
                <w:rFonts w:ascii="Aptos Narrow" w:hAnsi="Aptos Narrow"/>
                <w:sz w:val="22"/>
                <w:szCs w:val="22"/>
              </w:rPr>
              <w:t>Reservestandort (1.000 Mbit/s/500 Mbit/s)</w:t>
            </w:r>
          </w:p>
        </w:tc>
        <w:tc>
          <w:tcPr>
            <w:tcW w:w="1910" w:type="pct"/>
            <w:tcBorders>
              <w:top w:val="single" w:sz="4" w:space="0" w:color="FFFFFF"/>
              <w:left w:val="single" w:sz="4" w:space="0" w:color="FFFFFF"/>
              <w:bottom w:val="single" w:sz="4" w:space="0" w:color="FFFFFF"/>
              <w:right w:val="nil"/>
            </w:tcBorders>
            <w:shd w:val="clear" w:color="D9D9D9" w:fill="D9D9D9"/>
            <w:noWrap/>
            <w:vAlign w:val="bottom"/>
          </w:tcPr>
          <w:p w14:paraId="07667C09" w14:textId="77777777" w:rsidR="008762AC" w:rsidRPr="00021D6B" w:rsidRDefault="008762AC" w:rsidP="00965E5A">
            <w:pPr>
              <w:rPr>
                <w:rFonts w:ascii="Aptos Narrow" w:hAnsi="Aptos Narrow"/>
                <w:sz w:val="22"/>
                <w:szCs w:val="22"/>
              </w:rPr>
            </w:pPr>
          </w:p>
        </w:tc>
      </w:tr>
      <w:tr w:rsidR="008762AC" w:rsidRPr="00021D6B" w14:paraId="3F6CE785" w14:textId="77777777" w:rsidTr="008762AC">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tcPr>
          <w:p w14:paraId="33632023" w14:textId="3B3620C3" w:rsidR="008762AC" w:rsidRPr="00021D6B" w:rsidRDefault="008762AC" w:rsidP="00965E5A">
            <w:pPr>
              <w:jc w:val="right"/>
              <w:rPr>
                <w:rFonts w:ascii="Aptos Narrow" w:hAnsi="Aptos Narrow"/>
                <w:sz w:val="22"/>
                <w:szCs w:val="22"/>
              </w:rPr>
            </w:pPr>
            <w:r>
              <w:rPr>
                <w:rFonts w:ascii="Aptos Narrow" w:hAnsi="Aptos Narrow"/>
                <w:sz w:val="22"/>
                <w:szCs w:val="22"/>
              </w:rPr>
              <w:t>NN</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tcPr>
          <w:p w14:paraId="7CD4BBEC" w14:textId="469A5FB7" w:rsidR="008762AC" w:rsidRPr="00021D6B" w:rsidRDefault="008762AC" w:rsidP="00965E5A">
            <w:pPr>
              <w:rPr>
                <w:rFonts w:ascii="Aptos Narrow" w:hAnsi="Aptos Narrow"/>
                <w:sz w:val="22"/>
                <w:szCs w:val="22"/>
              </w:rPr>
            </w:pPr>
            <w:r>
              <w:rPr>
                <w:rFonts w:ascii="Aptos Narrow" w:hAnsi="Aptos Narrow"/>
                <w:sz w:val="22"/>
                <w:szCs w:val="22"/>
              </w:rPr>
              <w:t xml:space="preserve">Reservestandort (1.000 Mbit/s/500 Mbit/s) </w:t>
            </w:r>
          </w:p>
        </w:tc>
        <w:tc>
          <w:tcPr>
            <w:tcW w:w="1910" w:type="pct"/>
            <w:tcBorders>
              <w:top w:val="single" w:sz="4" w:space="0" w:color="FFFFFF"/>
              <w:left w:val="single" w:sz="4" w:space="0" w:color="FFFFFF"/>
              <w:bottom w:val="single" w:sz="4" w:space="0" w:color="FFFFFF"/>
              <w:right w:val="nil"/>
            </w:tcBorders>
            <w:shd w:val="clear" w:color="D9D9D9" w:fill="D9D9D9"/>
            <w:noWrap/>
            <w:vAlign w:val="bottom"/>
          </w:tcPr>
          <w:p w14:paraId="083A4B71" w14:textId="77777777" w:rsidR="008762AC" w:rsidRPr="00021D6B" w:rsidRDefault="008762AC" w:rsidP="00965E5A">
            <w:pPr>
              <w:rPr>
                <w:rFonts w:ascii="Aptos Narrow" w:hAnsi="Aptos Narrow"/>
                <w:sz w:val="22"/>
                <w:szCs w:val="22"/>
              </w:rPr>
            </w:pPr>
          </w:p>
        </w:tc>
      </w:tr>
      <w:tr w:rsidR="008762AC" w:rsidRPr="00021D6B" w14:paraId="7EDD6053" w14:textId="77777777" w:rsidTr="008762AC">
        <w:trPr>
          <w:trHeight w:val="290"/>
        </w:trPr>
        <w:tc>
          <w:tcPr>
            <w:tcW w:w="716" w:type="pct"/>
            <w:tcBorders>
              <w:top w:val="single" w:sz="4" w:space="0" w:color="FFFFFF"/>
              <w:left w:val="nil"/>
              <w:bottom w:val="single" w:sz="4" w:space="0" w:color="FFFFFF"/>
              <w:right w:val="single" w:sz="4" w:space="0" w:color="FFFFFF"/>
            </w:tcBorders>
            <w:shd w:val="clear" w:color="D9D9D9" w:fill="D9D9D9"/>
            <w:noWrap/>
            <w:vAlign w:val="bottom"/>
          </w:tcPr>
          <w:p w14:paraId="65990C6E" w14:textId="7424B8A3" w:rsidR="008762AC" w:rsidRPr="00021D6B" w:rsidRDefault="00C10AA5" w:rsidP="00965E5A">
            <w:pPr>
              <w:jc w:val="right"/>
              <w:rPr>
                <w:rFonts w:ascii="Aptos Narrow" w:hAnsi="Aptos Narrow"/>
                <w:sz w:val="22"/>
                <w:szCs w:val="22"/>
              </w:rPr>
            </w:pPr>
            <w:r>
              <w:rPr>
                <w:rFonts w:ascii="Aptos Narrow" w:hAnsi="Aptos Narrow"/>
                <w:sz w:val="22"/>
                <w:szCs w:val="22"/>
              </w:rPr>
              <w:t>NN</w:t>
            </w:r>
          </w:p>
        </w:tc>
        <w:tc>
          <w:tcPr>
            <w:tcW w:w="2374" w:type="pct"/>
            <w:tcBorders>
              <w:top w:val="single" w:sz="4" w:space="0" w:color="FFFFFF"/>
              <w:left w:val="single" w:sz="4" w:space="0" w:color="FFFFFF"/>
              <w:bottom w:val="single" w:sz="4" w:space="0" w:color="FFFFFF"/>
              <w:right w:val="single" w:sz="4" w:space="0" w:color="FFFFFF"/>
            </w:tcBorders>
            <w:shd w:val="clear" w:color="D9D9D9" w:fill="D9D9D9"/>
            <w:noWrap/>
            <w:vAlign w:val="bottom"/>
          </w:tcPr>
          <w:p w14:paraId="3B7ECB80" w14:textId="24DA7422" w:rsidR="008762AC" w:rsidRPr="00021D6B" w:rsidRDefault="00C10AA5" w:rsidP="00965E5A">
            <w:pPr>
              <w:rPr>
                <w:rFonts w:ascii="Aptos Narrow" w:hAnsi="Aptos Narrow"/>
                <w:sz w:val="22"/>
                <w:szCs w:val="22"/>
              </w:rPr>
            </w:pPr>
            <w:r>
              <w:rPr>
                <w:rFonts w:ascii="Aptos Narrow" w:hAnsi="Aptos Narrow"/>
                <w:sz w:val="22"/>
                <w:szCs w:val="22"/>
              </w:rPr>
              <w:t>Reservestandort (600 Mbit/s/200 Mbit/s)</w:t>
            </w:r>
          </w:p>
        </w:tc>
        <w:tc>
          <w:tcPr>
            <w:tcW w:w="1910" w:type="pct"/>
            <w:tcBorders>
              <w:top w:val="single" w:sz="4" w:space="0" w:color="FFFFFF"/>
              <w:left w:val="single" w:sz="4" w:space="0" w:color="FFFFFF"/>
              <w:bottom w:val="single" w:sz="4" w:space="0" w:color="FFFFFF"/>
              <w:right w:val="nil"/>
            </w:tcBorders>
            <w:shd w:val="clear" w:color="D9D9D9" w:fill="D9D9D9"/>
            <w:noWrap/>
            <w:vAlign w:val="bottom"/>
          </w:tcPr>
          <w:p w14:paraId="0A51CACA" w14:textId="77777777" w:rsidR="008762AC" w:rsidRPr="00021D6B" w:rsidRDefault="008762AC" w:rsidP="00965E5A">
            <w:pPr>
              <w:rPr>
                <w:rFonts w:ascii="Aptos Narrow" w:hAnsi="Aptos Narrow"/>
                <w:sz w:val="22"/>
                <w:szCs w:val="22"/>
              </w:rPr>
            </w:pPr>
          </w:p>
        </w:tc>
      </w:tr>
      <w:tr w:rsidR="008762AC" w:rsidRPr="00021D6B" w14:paraId="6B0117BE" w14:textId="77777777" w:rsidTr="00965E5A">
        <w:trPr>
          <w:trHeight w:val="290"/>
        </w:trPr>
        <w:tc>
          <w:tcPr>
            <w:tcW w:w="716" w:type="pct"/>
            <w:tcBorders>
              <w:top w:val="single" w:sz="4" w:space="0" w:color="FFFFFF"/>
              <w:left w:val="nil"/>
              <w:bottom w:val="nil"/>
              <w:right w:val="single" w:sz="4" w:space="0" w:color="FFFFFF"/>
            </w:tcBorders>
            <w:shd w:val="clear" w:color="D9D9D9" w:fill="D9D9D9"/>
            <w:noWrap/>
            <w:vAlign w:val="bottom"/>
          </w:tcPr>
          <w:p w14:paraId="7E3DD422" w14:textId="52E4F980" w:rsidR="008762AC" w:rsidRPr="00021D6B" w:rsidRDefault="00A936EC" w:rsidP="00965E5A">
            <w:pPr>
              <w:jc w:val="right"/>
              <w:rPr>
                <w:rFonts w:ascii="Aptos Narrow" w:hAnsi="Aptos Narrow"/>
                <w:sz w:val="22"/>
                <w:szCs w:val="22"/>
              </w:rPr>
            </w:pPr>
            <w:r>
              <w:rPr>
                <w:rFonts w:ascii="Aptos Narrow" w:hAnsi="Aptos Narrow"/>
                <w:sz w:val="22"/>
                <w:szCs w:val="22"/>
              </w:rPr>
              <w:t>NN</w:t>
            </w:r>
          </w:p>
        </w:tc>
        <w:tc>
          <w:tcPr>
            <w:tcW w:w="2374" w:type="pct"/>
            <w:tcBorders>
              <w:top w:val="single" w:sz="4" w:space="0" w:color="FFFFFF"/>
              <w:left w:val="single" w:sz="4" w:space="0" w:color="FFFFFF"/>
              <w:bottom w:val="nil"/>
              <w:right w:val="single" w:sz="4" w:space="0" w:color="FFFFFF"/>
            </w:tcBorders>
            <w:shd w:val="clear" w:color="D9D9D9" w:fill="D9D9D9"/>
            <w:noWrap/>
            <w:vAlign w:val="bottom"/>
          </w:tcPr>
          <w:p w14:paraId="2500070D" w14:textId="5B8B63C0" w:rsidR="008762AC" w:rsidRPr="00021D6B" w:rsidRDefault="00A936EC" w:rsidP="00965E5A">
            <w:pPr>
              <w:rPr>
                <w:rFonts w:ascii="Aptos Narrow" w:hAnsi="Aptos Narrow"/>
                <w:sz w:val="22"/>
                <w:szCs w:val="22"/>
              </w:rPr>
            </w:pPr>
            <w:r>
              <w:rPr>
                <w:rFonts w:ascii="Aptos Narrow" w:hAnsi="Aptos Narrow"/>
                <w:sz w:val="22"/>
                <w:szCs w:val="22"/>
              </w:rPr>
              <w:t>Reservestandort (600 Mbit/s/200 Mbit/s)</w:t>
            </w:r>
          </w:p>
        </w:tc>
        <w:tc>
          <w:tcPr>
            <w:tcW w:w="1910" w:type="pct"/>
            <w:tcBorders>
              <w:top w:val="single" w:sz="4" w:space="0" w:color="FFFFFF"/>
              <w:left w:val="single" w:sz="4" w:space="0" w:color="FFFFFF"/>
              <w:bottom w:val="nil"/>
              <w:right w:val="nil"/>
            </w:tcBorders>
            <w:shd w:val="clear" w:color="D9D9D9" w:fill="D9D9D9"/>
            <w:noWrap/>
            <w:vAlign w:val="bottom"/>
          </w:tcPr>
          <w:p w14:paraId="0D1B4A61" w14:textId="77777777" w:rsidR="008762AC" w:rsidRPr="00021D6B" w:rsidRDefault="008762AC" w:rsidP="00965E5A">
            <w:pPr>
              <w:rPr>
                <w:rFonts w:ascii="Aptos Narrow" w:hAnsi="Aptos Narrow"/>
                <w:sz w:val="22"/>
                <w:szCs w:val="22"/>
              </w:rPr>
            </w:pPr>
          </w:p>
        </w:tc>
      </w:tr>
    </w:tbl>
    <w:p w14:paraId="755B5CAC" w14:textId="77777777" w:rsidR="00F463CB" w:rsidRPr="007735F7" w:rsidRDefault="00F463CB" w:rsidP="007735F7">
      <w:pPr>
        <w:pStyle w:val="NurText"/>
        <w:spacing w:line="276" w:lineRule="auto"/>
        <w:jc w:val="both"/>
      </w:pPr>
    </w:p>
    <w:p w14:paraId="0F659F18" w14:textId="77777777" w:rsidR="00EC18B0" w:rsidRDefault="00EC18B0" w:rsidP="007735F7">
      <w:pPr>
        <w:pStyle w:val="NurText"/>
        <w:spacing w:line="276" w:lineRule="auto"/>
        <w:jc w:val="both"/>
        <w:rPr>
          <w:b/>
          <w:u w:val="single"/>
        </w:rPr>
      </w:pPr>
    </w:p>
    <w:p w14:paraId="1BA269C0" w14:textId="77777777" w:rsidR="00EC18B0" w:rsidRDefault="00EC18B0" w:rsidP="007735F7">
      <w:pPr>
        <w:pStyle w:val="NurText"/>
        <w:spacing w:line="276" w:lineRule="auto"/>
        <w:jc w:val="both"/>
        <w:rPr>
          <w:b/>
          <w:u w:val="single"/>
        </w:rPr>
      </w:pPr>
    </w:p>
    <w:p w14:paraId="0584DFD7" w14:textId="04699384" w:rsidR="00801F1A" w:rsidRPr="007735F7" w:rsidRDefault="00801F1A" w:rsidP="007735F7">
      <w:pPr>
        <w:pStyle w:val="NurText"/>
        <w:spacing w:line="276" w:lineRule="auto"/>
        <w:jc w:val="both"/>
        <w:rPr>
          <w:b/>
          <w:u w:val="single"/>
        </w:rPr>
      </w:pPr>
      <w:r w:rsidRPr="007735F7">
        <w:rPr>
          <w:b/>
          <w:u w:val="single"/>
        </w:rPr>
        <w:t>Mindestanforderungen:</w:t>
      </w:r>
    </w:p>
    <w:p w14:paraId="66D2A281" w14:textId="2DA3C27F" w:rsidR="00801F1A" w:rsidRPr="007735F7" w:rsidRDefault="00801F1A" w:rsidP="007735F7">
      <w:pPr>
        <w:pStyle w:val="NurText"/>
        <w:spacing w:line="276" w:lineRule="auto"/>
        <w:jc w:val="both"/>
      </w:pPr>
      <w:r w:rsidRPr="007735F7">
        <w:t>Folgende qualitativen Mindestanforderungen müssen die Glasfaseranschlüsse jeweils erfüllen:</w:t>
      </w:r>
    </w:p>
    <w:p w14:paraId="3E049E5F" w14:textId="07152345" w:rsidR="00801F1A" w:rsidRPr="007735F7" w:rsidRDefault="00801F1A" w:rsidP="007735F7">
      <w:pPr>
        <w:spacing w:line="276" w:lineRule="auto"/>
        <w:jc w:val="both"/>
        <w:rPr>
          <w:b/>
          <w:bCs/>
        </w:rPr>
      </w:pPr>
    </w:p>
    <w:tbl>
      <w:tblPr>
        <w:tblW w:w="7257" w:type="dxa"/>
        <w:tblCellMar>
          <w:left w:w="70" w:type="dxa"/>
          <w:right w:w="70" w:type="dxa"/>
        </w:tblCellMar>
        <w:tblLook w:val="04A0" w:firstRow="1" w:lastRow="0" w:firstColumn="1" w:lastColumn="0" w:noHBand="0" w:noVBand="1"/>
      </w:tblPr>
      <w:tblGrid>
        <w:gridCol w:w="4080"/>
        <w:gridCol w:w="3177"/>
      </w:tblGrid>
      <w:tr w:rsidR="00801F1A" w:rsidRPr="007735F7" w14:paraId="4B4E4596" w14:textId="77777777" w:rsidTr="00801F1A">
        <w:trPr>
          <w:trHeight w:val="305"/>
        </w:trPr>
        <w:tc>
          <w:tcPr>
            <w:tcW w:w="4080" w:type="dxa"/>
            <w:tcBorders>
              <w:top w:val="single" w:sz="8" w:space="0" w:color="auto"/>
              <w:left w:val="single" w:sz="8" w:space="0" w:color="auto"/>
              <w:bottom w:val="single" w:sz="8" w:space="0" w:color="auto"/>
              <w:right w:val="single" w:sz="4" w:space="0" w:color="auto"/>
            </w:tcBorders>
            <w:shd w:val="clear" w:color="auto" w:fill="auto"/>
            <w:noWrap/>
            <w:hideMark/>
          </w:tcPr>
          <w:p w14:paraId="523C832B" w14:textId="77777777" w:rsidR="00801F1A" w:rsidRPr="007735F7" w:rsidRDefault="00801F1A" w:rsidP="007735F7">
            <w:pPr>
              <w:spacing w:line="276" w:lineRule="auto"/>
              <w:jc w:val="both"/>
              <w:rPr>
                <w:rFonts w:cs="Calibri"/>
              </w:rPr>
            </w:pPr>
            <w:r w:rsidRPr="007735F7">
              <w:rPr>
                <w:rFonts w:cs="Calibri"/>
              </w:rPr>
              <w:t>Qualitätsmerkmal</w:t>
            </w:r>
          </w:p>
        </w:tc>
        <w:tc>
          <w:tcPr>
            <w:tcW w:w="3177" w:type="dxa"/>
            <w:tcBorders>
              <w:top w:val="single" w:sz="8" w:space="0" w:color="auto"/>
              <w:left w:val="nil"/>
              <w:bottom w:val="single" w:sz="8" w:space="0" w:color="auto"/>
              <w:right w:val="single" w:sz="8" w:space="0" w:color="auto"/>
            </w:tcBorders>
            <w:shd w:val="clear" w:color="auto" w:fill="auto"/>
            <w:noWrap/>
            <w:vAlign w:val="center"/>
            <w:hideMark/>
          </w:tcPr>
          <w:p w14:paraId="7680EE98" w14:textId="77777777" w:rsidR="00801F1A" w:rsidRPr="007735F7" w:rsidRDefault="00801F1A" w:rsidP="007735F7">
            <w:pPr>
              <w:spacing w:line="276" w:lineRule="auto"/>
              <w:jc w:val="both"/>
              <w:rPr>
                <w:rFonts w:cs="Calibri"/>
              </w:rPr>
            </w:pPr>
            <w:r w:rsidRPr="007735F7">
              <w:rPr>
                <w:rFonts w:cs="Calibri"/>
              </w:rPr>
              <w:t>Wert</w:t>
            </w:r>
          </w:p>
        </w:tc>
      </w:tr>
      <w:tr w:rsidR="00801F1A" w:rsidRPr="007735F7" w14:paraId="0632F4D1" w14:textId="77777777" w:rsidTr="00801F1A">
        <w:trPr>
          <w:trHeight w:val="624"/>
        </w:trPr>
        <w:tc>
          <w:tcPr>
            <w:tcW w:w="4080" w:type="dxa"/>
            <w:tcBorders>
              <w:top w:val="nil"/>
              <w:left w:val="single" w:sz="8" w:space="0" w:color="auto"/>
              <w:bottom w:val="single" w:sz="4" w:space="0" w:color="auto"/>
              <w:right w:val="single" w:sz="4" w:space="0" w:color="auto"/>
            </w:tcBorders>
            <w:shd w:val="clear" w:color="auto" w:fill="auto"/>
            <w:hideMark/>
          </w:tcPr>
          <w:p w14:paraId="14D07BD0" w14:textId="77777777" w:rsidR="00801F1A" w:rsidRPr="007735F7" w:rsidRDefault="00801F1A" w:rsidP="007735F7">
            <w:pPr>
              <w:spacing w:line="276" w:lineRule="auto"/>
              <w:jc w:val="both"/>
              <w:rPr>
                <w:rFonts w:cs="Calibri"/>
              </w:rPr>
            </w:pPr>
            <w:r w:rsidRPr="007735F7">
              <w:rPr>
                <w:rFonts w:cs="Calibri"/>
              </w:rPr>
              <w:t>Jährliches Verfügbarkeitslevel in % (Internet und Telefonie)</w:t>
            </w:r>
          </w:p>
        </w:tc>
        <w:tc>
          <w:tcPr>
            <w:tcW w:w="3177" w:type="dxa"/>
            <w:tcBorders>
              <w:top w:val="nil"/>
              <w:left w:val="nil"/>
              <w:bottom w:val="single" w:sz="4" w:space="0" w:color="auto"/>
              <w:right w:val="single" w:sz="8" w:space="0" w:color="auto"/>
            </w:tcBorders>
            <w:shd w:val="clear" w:color="auto" w:fill="auto"/>
            <w:noWrap/>
            <w:vAlign w:val="center"/>
            <w:hideMark/>
          </w:tcPr>
          <w:p w14:paraId="1D2A98C1" w14:textId="77777777" w:rsidR="00801F1A" w:rsidRPr="007735F7" w:rsidRDefault="00801F1A" w:rsidP="007735F7">
            <w:pPr>
              <w:spacing w:line="276" w:lineRule="auto"/>
              <w:jc w:val="both"/>
              <w:rPr>
                <w:rFonts w:cs="Calibri"/>
              </w:rPr>
            </w:pPr>
            <w:r w:rsidRPr="007735F7">
              <w:rPr>
                <w:rFonts w:cs="Calibri"/>
              </w:rPr>
              <w:t>&gt;95%</w:t>
            </w:r>
          </w:p>
        </w:tc>
      </w:tr>
      <w:tr w:rsidR="00801F1A" w:rsidRPr="007735F7" w14:paraId="795098B3" w14:textId="77777777" w:rsidTr="00801F1A">
        <w:trPr>
          <w:trHeight w:val="295"/>
        </w:trPr>
        <w:tc>
          <w:tcPr>
            <w:tcW w:w="4080" w:type="dxa"/>
            <w:tcBorders>
              <w:top w:val="nil"/>
              <w:left w:val="single" w:sz="8" w:space="0" w:color="auto"/>
              <w:bottom w:val="single" w:sz="4" w:space="0" w:color="auto"/>
              <w:right w:val="single" w:sz="4" w:space="0" w:color="auto"/>
            </w:tcBorders>
            <w:shd w:val="clear" w:color="auto" w:fill="auto"/>
            <w:noWrap/>
            <w:hideMark/>
          </w:tcPr>
          <w:p w14:paraId="6BE69B16" w14:textId="77777777" w:rsidR="00801F1A" w:rsidRPr="007735F7" w:rsidRDefault="00801F1A" w:rsidP="007735F7">
            <w:pPr>
              <w:spacing w:line="276" w:lineRule="auto"/>
              <w:jc w:val="both"/>
              <w:rPr>
                <w:rFonts w:cs="Calibri"/>
              </w:rPr>
            </w:pPr>
            <w:r w:rsidRPr="007735F7">
              <w:rPr>
                <w:rFonts w:cs="Calibri"/>
              </w:rPr>
              <w:t>Latenz</w:t>
            </w:r>
          </w:p>
        </w:tc>
        <w:tc>
          <w:tcPr>
            <w:tcW w:w="3177" w:type="dxa"/>
            <w:tcBorders>
              <w:top w:val="nil"/>
              <w:left w:val="nil"/>
              <w:bottom w:val="single" w:sz="4" w:space="0" w:color="auto"/>
              <w:right w:val="single" w:sz="8" w:space="0" w:color="auto"/>
            </w:tcBorders>
            <w:shd w:val="clear" w:color="auto" w:fill="auto"/>
            <w:noWrap/>
            <w:vAlign w:val="center"/>
            <w:hideMark/>
          </w:tcPr>
          <w:p w14:paraId="08D89ECB" w14:textId="77777777" w:rsidR="00801F1A" w:rsidRPr="007735F7" w:rsidRDefault="00801F1A" w:rsidP="007735F7">
            <w:pPr>
              <w:spacing w:line="276" w:lineRule="auto"/>
              <w:jc w:val="both"/>
              <w:rPr>
                <w:rFonts w:cs="Calibri"/>
              </w:rPr>
            </w:pPr>
            <w:r w:rsidRPr="007735F7">
              <w:rPr>
                <w:rFonts w:cs="Calibri"/>
              </w:rPr>
              <w:t>&lt;15ms</w:t>
            </w:r>
          </w:p>
        </w:tc>
      </w:tr>
      <w:tr w:rsidR="00801F1A" w:rsidRPr="007735F7" w14:paraId="7056922C" w14:textId="77777777" w:rsidTr="00801F1A">
        <w:trPr>
          <w:trHeight w:val="407"/>
        </w:trPr>
        <w:tc>
          <w:tcPr>
            <w:tcW w:w="4080" w:type="dxa"/>
            <w:tcBorders>
              <w:top w:val="nil"/>
              <w:left w:val="single" w:sz="8" w:space="0" w:color="auto"/>
              <w:bottom w:val="single" w:sz="4" w:space="0" w:color="auto"/>
              <w:right w:val="single" w:sz="4" w:space="0" w:color="auto"/>
            </w:tcBorders>
            <w:shd w:val="clear" w:color="auto" w:fill="auto"/>
            <w:hideMark/>
          </w:tcPr>
          <w:p w14:paraId="23FF0BC2" w14:textId="77777777" w:rsidR="00801F1A" w:rsidRPr="007735F7" w:rsidRDefault="00801F1A" w:rsidP="007735F7">
            <w:pPr>
              <w:spacing w:line="276" w:lineRule="auto"/>
              <w:jc w:val="both"/>
              <w:rPr>
                <w:rFonts w:cs="Calibri"/>
              </w:rPr>
            </w:pPr>
            <w:r w:rsidRPr="007735F7">
              <w:rPr>
                <w:rFonts w:cs="Calibri"/>
              </w:rPr>
              <w:lastRenderedPageBreak/>
              <w:t>Schwankungen (Verzögerung)</w:t>
            </w:r>
          </w:p>
        </w:tc>
        <w:tc>
          <w:tcPr>
            <w:tcW w:w="3177" w:type="dxa"/>
            <w:tcBorders>
              <w:top w:val="nil"/>
              <w:left w:val="nil"/>
              <w:bottom w:val="single" w:sz="4" w:space="0" w:color="auto"/>
              <w:right w:val="single" w:sz="8" w:space="0" w:color="auto"/>
            </w:tcBorders>
            <w:shd w:val="clear" w:color="auto" w:fill="auto"/>
            <w:noWrap/>
            <w:vAlign w:val="center"/>
            <w:hideMark/>
          </w:tcPr>
          <w:p w14:paraId="0A72C75B" w14:textId="77777777" w:rsidR="00801F1A" w:rsidRPr="007735F7" w:rsidRDefault="00801F1A" w:rsidP="007735F7">
            <w:pPr>
              <w:spacing w:line="276" w:lineRule="auto"/>
              <w:jc w:val="both"/>
              <w:rPr>
                <w:rFonts w:cs="Calibri"/>
              </w:rPr>
            </w:pPr>
            <w:r w:rsidRPr="007735F7">
              <w:rPr>
                <w:rFonts w:cs="Calibri"/>
              </w:rPr>
              <w:t>&lt;20ms</w:t>
            </w:r>
          </w:p>
        </w:tc>
      </w:tr>
      <w:tr w:rsidR="00801F1A" w:rsidRPr="007735F7" w14:paraId="21E31195" w14:textId="77777777" w:rsidTr="00801F1A">
        <w:trPr>
          <w:trHeight w:val="305"/>
        </w:trPr>
        <w:tc>
          <w:tcPr>
            <w:tcW w:w="4080" w:type="dxa"/>
            <w:tcBorders>
              <w:top w:val="nil"/>
              <w:left w:val="single" w:sz="8" w:space="0" w:color="auto"/>
              <w:bottom w:val="single" w:sz="8" w:space="0" w:color="auto"/>
              <w:right w:val="single" w:sz="4" w:space="0" w:color="auto"/>
            </w:tcBorders>
            <w:shd w:val="clear" w:color="auto" w:fill="auto"/>
            <w:noWrap/>
            <w:hideMark/>
          </w:tcPr>
          <w:p w14:paraId="443290F4" w14:textId="77777777" w:rsidR="00801F1A" w:rsidRPr="007735F7" w:rsidRDefault="00801F1A" w:rsidP="007735F7">
            <w:pPr>
              <w:spacing w:line="276" w:lineRule="auto"/>
              <w:jc w:val="both"/>
              <w:rPr>
                <w:rFonts w:cs="Calibri"/>
              </w:rPr>
            </w:pPr>
            <w:r w:rsidRPr="007735F7">
              <w:rPr>
                <w:rFonts w:cs="Calibri"/>
              </w:rPr>
              <w:t>Paketverluste in %</w:t>
            </w:r>
          </w:p>
        </w:tc>
        <w:tc>
          <w:tcPr>
            <w:tcW w:w="3177" w:type="dxa"/>
            <w:tcBorders>
              <w:top w:val="nil"/>
              <w:left w:val="nil"/>
              <w:bottom w:val="single" w:sz="8" w:space="0" w:color="auto"/>
              <w:right w:val="single" w:sz="8" w:space="0" w:color="auto"/>
            </w:tcBorders>
            <w:shd w:val="clear" w:color="auto" w:fill="auto"/>
            <w:noWrap/>
            <w:vAlign w:val="center"/>
            <w:hideMark/>
          </w:tcPr>
          <w:p w14:paraId="62EFBAED" w14:textId="77777777" w:rsidR="00801F1A" w:rsidRPr="007735F7" w:rsidRDefault="00801F1A" w:rsidP="007735F7">
            <w:pPr>
              <w:spacing w:line="276" w:lineRule="auto"/>
              <w:jc w:val="both"/>
              <w:rPr>
                <w:rFonts w:cs="Calibri"/>
              </w:rPr>
            </w:pPr>
            <w:r w:rsidRPr="007735F7">
              <w:rPr>
                <w:rFonts w:cs="Calibri"/>
              </w:rPr>
              <w:t>&lt;0,1</w:t>
            </w:r>
          </w:p>
        </w:tc>
      </w:tr>
    </w:tbl>
    <w:p w14:paraId="15B732B5" w14:textId="77777777" w:rsidR="00801F1A" w:rsidRPr="007735F7" w:rsidRDefault="00801F1A" w:rsidP="007735F7">
      <w:pPr>
        <w:pStyle w:val="NurText"/>
        <w:spacing w:line="276" w:lineRule="auto"/>
        <w:jc w:val="both"/>
      </w:pPr>
    </w:p>
    <w:p w14:paraId="3BEA2332" w14:textId="77777777" w:rsidR="00D2611A" w:rsidRDefault="00D2611A" w:rsidP="007735F7">
      <w:pPr>
        <w:pStyle w:val="NurText"/>
        <w:spacing w:line="276" w:lineRule="auto"/>
        <w:jc w:val="both"/>
        <w:rPr>
          <w:b/>
          <w:u w:val="single"/>
        </w:rPr>
      </w:pPr>
    </w:p>
    <w:p w14:paraId="7A10AC53" w14:textId="77777777" w:rsidR="00D2611A" w:rsidRDefault="00D2611A" w:rsidP="007735F7">
      <w:pPr>
        <w:pStyle w:val="NurText"/>
        <w:spacing w:line="276" w:lineRule="auto"/>
        <w:jc w:val="both"/>
        <w:rPr>
          <w:b/>
          <w:u w:val="single"/>
        </w:rPr>
      </w:pPr>
    </w:p>
    <w:p w14:paraId="34672CAB" w14:textId="77777777" w:rsidR="00D2611A" w:rsidRDefault="00D2611A" w:rsidP="007735F7">
      <w:pPr>
        <w:pStyle w:val="NurText"/>
        <w:spacing w:line="276" w:lineRule="auto"/>
        <w:jc w:val="both"/>
        <w:rPr>
          <w:b/>
          <w:u w:val="single"/>
        </w:rPr>
      </w:pPr>
    </w:p>
    <w:p w14:paraId="0085053C" w14:textId="6CAFEEC0" w:rsidR="00801F1A" w:rsidRPr="007735F7" w:rsidRDefault="00801F1A" w:rsidP="007735F7">
      <w:pPr>
        <w:pStyle w:val="NurText"/>
        <w:spacing w:line="276" w:lineRule="auto"/>
        <w:jc w:val="both"/>
        <w:rPr>
          <w:b/>
          <w:u w:val="single"/>
        </w:rPr>
      </w:pPr>
      <w:r w:rsidRPr="007735F7">
        <w:rPr>
          <w:b/>
          <w:u w:val="single"/>
        </w:rPr>
        <w:t>Servicezeiten:</w:t>
      </w:r>
    </w:p>
    <w:p w14:paraId="0ABEF393" w14:textId="59EFB7B3" w:rsidR="00801F1A" w:rsidRPr="007735F7" w:rsidRDefault="00801F1A" w:rsidP="007735F7">
      <w:pPr>
        <w:pStyle w:val="NurText"/>
        <w:spacing w:line="276" w:lineRule="auto"/>
        <w:jc w:val="both"/>
      </w:pPr>
      <w:r w:rsidRPr="007735F7">
        <w:t>Folgende Servicezeiten und -Sprache werden für die Entstörung festgelegt:</w:t>
      </w:r>
    </w:p>
    <w:p w14:paraId="2F966615" w14:textId="004A7202" w:rsidR="00801F1A" w:rsidRPr="007735F7" w:rsidRDefault="00801F1A" w:rsidP="007735F7">
      <w:pPr>
        <w:spacing w:line="276" w:lineRule="auto"/>
        <w:jc w:val="both"/>
        <w:rPr>
          <w:b/>
          <w:bCs/>
        </w:rPr>
      </w:pP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6"/>
        <w:gridCol w:w="3119"/>
      </w:tblGrid>
      <w:tr w:rsidR="00801F1A" w:rsidRPr="007735F7" w14:paraId="2FA88989" w14:textId="77777777" w:rsidTr="00801F1A">
        <w:tc>
          <w:tcPr>
            <w:tcW w:w="4106" w:type="dxa"/>
            <w:shd w:val="clear" w:color="auto" w:fill="auto"/>
            <w:noWrap/>
            <w:hideMark/>
          </w:tcPr>
          <w:p w14:paraId="37D711F7" w14:textId="77777777" w:rsidR="00801F1A" w:rsidRPr="007735F7" w:rsidRDefault="00801F1A" w:rsidP="007735F7">
            <w:pPr>
              <w:spacing w:line="276" w:lineRule="auto"/>
              <w:jc w:val="both"/>
              <w:rPr>
                <w:rFonts w:cs="Calibri"/>
              </w:rPr>
            </w:pPr>
            <w:r w:rsidRPr="007735F7">
              <w:rPr>
                <w:rFonts w:cs="Calibri"/>
              </w:rPr>
              <w:t>Qualitätsmerkmal</w:t>
            </w:r>
          </w:p>
        </w:tc>
        <w:tc>
          <w:tcPr>
            <w:tcW w:w="3119" w:type="dxa"/>
            <w:shd w:val="clear" w:color="auto" w:fill="auto"/>
            <w:noWrap/>
            <w:hideMark/>
          </w:tcPr>
          <w:p w14:paraId="50D8FE81" w14:textId="77777777" w:rsidR="00801F1A" w:rsidRPr="007735F7" w:rsidRDefault="00801F1A" w:rsidP="007735F7">
            <w:pPr>
              <w:spacing w:line="276" w:lineRule="auto"/>
              <w:jc w:val="both"/>
              <w:rPr>
                <w:rFonts w:cs="Calibri"/>
              </w:rPr>
            </w:pPr>
            <w:r w:rsidRPr="007735F7">
              <w:rPr>
                <w:rFonts w:cs="Calibri"/>
              </w:rPr>
              <w:t>Leistung</w:t>
            </w:r>
          </w:p>
        </w:tc>
      </w:tr>
      <w:tr w:rsidR="00801F1A" w:rsidRPr="007735F7" w14:paraId="14DF3B90" w14:textId="77777777" w:rsidTr="00801F1A">
        <w:tc>
          <w:tcPr>
            <w:tcW w:w="4106" w:type="dxa"/>
            <w:shd w:val="clear" w:color="auto" w:fill="auto"/>
            <w:hideMark/>
          </w:tcPr>
          <w:p w14:paraId="6FB10B1B" w14:textId="6A7C7032" w:rsidR="00801F1A" w:rsidRPr="007735F7" w:rsidRDefault="00801F1A" w:rsidP="007735F7">
            <w:pPr>
              <w:spacing w:line="276" w:lineRule="auto"/>
              <w:jc w:val="both"/>
              <w:rPr>
                <w:rFonts w:cs="Calibri"/>
              </w:rPr>
            </w:pPr>
            <w:r w:rsidRPr="007735F7">
              <w:rPr>
                <w:rFonts w:cs="Calibri"/>
              </w:rPr>
              <w:t>Servicezeiten Montag-Freitag</w:t>
            </w:r>
          </w:p>
        </w:tc>
        <w:tc>
          <w:tcPr>
            <w:tcW w:w="3119" w:type="dxa"/>
            <w:shd w:val="clear" w:color="auto" w:fill="auto"/>
            <w:noWrap/>
            <w:hideMark/>
          </w:tcPr>
          <w:p w14:paraId="76040FCE" w14:textId="77777777" w:rsidR="00801F1A" w:rsidRPr="007735F7" w:rsidRDefault="00801F1A" w:rsidP="007735F7">
            <w:pPr>
              <w:spacing w:line="276" w:lineRule="auto"/>
              <w:jc w:val="both"/>
              <w:rPr>
                <w:rFonts w:cs="Calibri"/>
              </w:rPr>
            </w:pPr>
            <w:r w:rsidRPr="007735F7">
              <w:rPr>
                <w:rFonts w:cs="Calibri"/>
              </w:rPr>
              <w:t>08:00 - 16:00 Uhr</w:t>
            </w:r>
          </w:p>
        </w:tc>
      </w:tr>
      <w:tr w:rsidR="00801F1A" w:rsidRPr="007735F7" w14:paraId="5DB812DB" w14:textId="77777777" w:rsidTr="00801F1A">
        <w:tc>
          <w:tcPr>
            <w:tcW w:w="4106" w:type="dxa"/>
            <w:shd w:val="clear" w:color="auto" w:fill="auto"/>
            <w:noWrap/>
            <w:hideMark/>
          </w:tcPr>
          <w:p w14:paraId="52FCC22D" w14:textId="77777777" w:rsidR="00801F1A" w:rsidRPr="007735F7" w:rsidRDefault="00801F1A" w:rsidP="007735F7">
            <w:pPr>
              <w:spacing w:line="276" w:lineRule="auto"/>
              <w:jc w:val="both"/>
              <w:rPr>
                <w:rFonts w:cs="Calibri"/>
              </w:rPr>
            </w:pPr>
            <w:r w:rsidRPr="007735F7">
              <w:rPr>
                <w:rFonts w:cs="Calibri"/>
              </w:rPr>
              <w:t>Samstag-Sonntag</w:t>
            </w:r>
          </w:p>
        </w:tc>
        <w:tc>
          <w:tcPr>
            <w:tcW w:w="3119" w:type="dxa"/>
            <w:shd w:val="clear" w:color="auto" w:fill="auto"/>
            <w:noWrap/>
            <w:hideMark/>
          </w:tcPr>
          <w:p w14:paraId="45B22166" w14:textId="77777777" w:rsidR="00801F1A" w:rsidRPr="007735F7" w:rsidRDefault="00801F1A" w:rsidP="007735F7">
            <w:pPr>
              <w:spacing w:line="276" w:lineRule="auto"/>
              <w:jc w:val="both"/>
              <w:rPr>
                <w:rFonts w:cs="Calibri"/>
              </w:rPr>
            </w:pPr>
            <w:r w:rsidRPr="007735F7">
              <w:rPr>
                <w:rFonts w:cs="Calibri"/>
              </w:rPr>
              <w:t>Kein Service</w:t>
            </w:r>
          </w:p>
        </w:tc>
      </w:tr>
      <w:tr w:rsidR="00801F1A" w:rsidRPr="007735F7" w14:paraId="4B913FDE" w14:textId="77777777" w:rsidTr="00801F1A">
        <w:tc>
          <w:tcPr>
            <w:tcW w:w="4106" w:type="dxa"/>
            <w:shd w:val="clear" w:color="auto" w:fill="auto"/>
            <w:noWrap/>
            <w:hideMark/>
          </w:tcPr>
          <w:p w14:paraId="79B83C5D" w14:textId="77777777" w:rsidR="00801F1A" w:rsidRPr="007735F7" w:rsidRDefault="00801F1A" w:rsidP="007735F7">
            <w:pPr>
              <w:spacing w:line="276" w:lineRule="auto"/>
              <w:jc w:val="both"/>
              <w:rPr>
                <w:rFonts w:cs="Calibri"/>
              </w:rPr>
            </w:pPr>
            <w:r w:rsidRPr="007735F7">
              <w:rPr>
                <w:rFonts w:cs="Calibri"/>
              </w:rPr>
              <w:t>Feiertags</w:t>
            </w:r>
          </w:p>
        </w:tc>
        <w:tc>
          <w:tcPr>
            <w:tcW w:w="3119" w:type="dxa"/>
            <w:shd w:val="clear" w:color="auto" w:fill="auto"/>
            <w:noWrap/>
            <w:hideMark/>
          </w:tcPr>
          <w:p w14:paraId="2BF0AFB3" w14:textId="77777777" w:rsidR="00801F1A" w:rsidRPr="007735F7" w:rsidRDefault="00801F1A" w:rsidP="007735F7">
            <w:pPr>
              <w:spacing w:line="276" w:lineRule="auto"/>
              <w:jc w:val="both"/>
              <w:rPr>
                <w:rFonts w:cs="Calibri"/>
              </w:rPr>
            </w:pPr>
            <w:r w:rsidRPr="007735F7">
              <w:rPr>
                <w:rFonts w:cs="Calibri"/>
              </w:rPr>
              <w:t>Kein Service</w:t>
            </w:r>
          </w:p>
        </w:tc>
      </w:tr>
      <w:tr w:rsidR="00801F1A" w:rsidRPr="007735F7" w14:paraId="55E2EAEF" w14:textId="77777777" w:rsidTr="00801F1A">
        <w:tc>
          <w:tcPr>
            <w:tcW w:w="4106" w:type="dxa"/>
            <w:shd w:val="clear" w:color="auto" w:fill="auto"/>
            <w:noWrap/>
          </w:tcPr>
          <w:p w14:paraId="1E4BF953" w14:textId="77777777" w:rsidR="00801F1A" w:rsidRPr="007735F7" w:rsidRDefault="00801F1A" w:rsidP="007735F7">
            <w:pPr>
              <w:spacing w:line="276" w:lineRule="auto"/>
              <w:jc w:val="both"/>
              <w:rPr>
                <w:rFonts w:cs="Calibri"/>
              </w:rPr>
            </w:pPr>
            <w:r w:rsidRPr="007735F7">
              <w:rPr>
                <w:rFonts w:cs="Calibri"/>
              </w:rPr>
              <w:t>Support</w:t>
            </w:r>
          </w:p>
        </w:tc>
        <w:tc>
          <w:tcPr>
            <w:tcW w:w="3119" w:type="dxa"/>
            <w:shd w:val="clear" w:color="auto" w:fill="auto"/>
            <w:noWrap/>
          </w:tcPr>
          <w:p w14:paraId="63A8982D" w14:textId="77777777" w:rsidR="00801F1A" w:rsidRPr="007735F7" w:rsidRDefault="00801F1A" w:rsidP="007735F7">
            <w:pPr>
              <w:spacing w:line="276" w:lineRule="auto"/>
              <w:jc w:val="both"/>
              <w:rPr>
                <w:rFonts w:cs="Calibri"/>
              </w:rPr>
            </w:pPr>
            <w:r w:rsidRPr="007735F7">
              <w:rPr>
                <w:rFonts w:cs="Calibri"/>
              </w:rPr>
              <w:t>Deutschsprachig</w:t>
            </w:r>
          </w:p>
        </w:tc>
      </w:tr>
    </w:tbl>
    <w:p w14:paraId="6E450BD3" w14:textId="77777777" w:rsidR="00F463CB" w:rsidRDefault="00F463CB" w:rsidP="007735F7">
      <w:pPr>
        <w:pStyle w:val="NurText"/>
        <w:spacing w:line="276" w:lineRule="auto"/>
        <w:jc w:val="both"/>
        <w:rPr>
          <w:b/>
          <w:u w:val="single"/>
        </w:rPr>
      </w:pPr>
    </w:p>
    <w:p w14:paraId="78E2CB19" w14:textId="30BD6E81" w:rsidR="00801F1A" w:rsidRPr="007735F7" w:rsidRDefault="00801F1A" w:rsidP="00AE2689">
      <w:pPr>
        <w:pStyle w:val="NurText"/>
        <w:spacing w:line="360" w:lineRule="auto"/>
        <w:jc w:val="both"/>
        <w:rPr>
          <w:b/>
          <w:u w:val="single"/>
        </w:rPr>
      </w:pPr>
      <w:r w:rsidRPr="007735F7">
        <w:rPr>
          <w:b/>
          <w:u w:val="single"/>
        </w:rPr>
        <w:t>Bereitgestellte Hardware:</w:t>
      </w:r>
    </w:p>
    <w:p w14:paraId="5F795D3A" w14:textId="77777777" w:rsidR="00801F1A" w:rsidRPr="007735F7" w:rsidRDefault="00801F1A" w:rsidP="00AE2689">
      <w:pPr>
        <w:spacing w:line="360" w:lineRule="auto"/>
        <w:jc w:val="both"/>
        <w:rPr>
          <w:color w:val="FF0000"/>
        </w:rPr>
      </w:pPr>
      <w:r w:rsidRPr="007735F7">
        <w:t>Zu den angebotenen Produkten muss jeweils die Bereitstellung eines ONT mit Möglichkeit zur Steckverbindung mit dem Standard RJ45 erfolgen.</w:t>
      </w:r>
    </w:p>
    <w:p w14:paraId="4CD4D18C" w14:textId="77777777" w:rsidR="00801F1A" w:rsidRPr="007735F7" w:rsidRDefault="00801F1A" w:rsidP="00AE2689">
      <w:pPr>
        <w:pStyle w:val="NurText"/>
        <w:spacing w:line="360" w:lineRule="auto"/>
        <w:jc w:val="both"/>
      </w:pPr>
    </w:p>
    <w:p w14:paraId="139382E2" w14:textId="77777777" w:rsidR="00801F1A" w:rsidRPr="007735F7" w:rsidRDefault="00801F1A" w:rsidP="00AE2689">
      <w:pPr>
        <w:spacing w:line="360" w:lineRule="auto"/>
        <w:jc w:val="both"/>
        <w:rPr>
          <w:b/>
          <w:u w:val="single"/>
        </w:rPr>
      </w:pPr>
      <w:r w:rsidRPr="007735F7">
        <w:rPr>
          <w:b/>
          <w:u w:val="single"/>
        </w:rPr>
        <w:t>Einwahl:</w:t>
      </w:r>
    </w:p>
    <w:p w14:paraId="1D10D518" w14:textId="77777777" w:rsidR="00801F1A" w:rsidRPr="007735F7" w:rsidRDefault="00801F1A" w:rsidP="00AE2689">
      <w:pPr>
        <w:spacing w:line="360" w:lineRule="auto"/>
        <w:jc w:val="both"/>
      </w:pPr>
      <w:r w:rsidRPr="007735F7">
        <w:t xml:space="preserve">Die Einwahl muss über PPPOE möglich sein. Die notwendigen PPPOE Parameter zur Konfiguration werden durch den Anbieter bereitgestellt. </w:t>
      </w:r>
    </w:p>
    <w:p w14:paraId="29CBCE04" w14:textId="77777777" w:rsidR="00801F1A" w:rsidRPr="007735F7" w:rsidRDefault="00801F1A" w:rsidP="00AE2689">
      <w:pPr>
        <w:spacing w:line="360" w:lineRule="auto"/>
        <w:jc w:val="both"/>
      </w:pPr>
      <w:r w:rsidRPr="007735F7">
        <w:t xml:space="preserve">Es wird mindestens eine IPv4 Adresse am Anschluss bereitgestellt. Nur natives DualStack ist zulässig. </w:t>
      </w:r>
    </w:p>
    <w:p w14:paraId="690DF200" w14:textId="77777777" w:rsidR="00801F1A" w:rsidRPr="007735F7" w:rsidRDefault="00801F1A" w:rsidP="00AE2689">
      <w:pPr>
        <w:pStyle w:val="NurText"/>
        <w:spacing w:line="360" w:lineRule="auto"/>
        <w:jc w:val="both"/>
      </w:pPr>
    </w:p>
    <w:p w14:paraId="778AEAE9" w14:textId="77777777" w:rsidR="006D6FC8" w:rsidRPr="007735F7" w:rsidRDefault="009C3157" w:rsidP="00AE2689">
      <w:pPr>
        <w:spacing w:line="360" w:lineRule="auto"/>
        <w:jc w:val="both"/>
        <w:rPr>
          <w:b/>
          <w:u w:val="single"/>
        </w:rPr>
      </w:pPr>
      <w:r w:rsidRPr="007735F7">
        <w:rPr>
          <w:b/>
          <w:u w:val="single"/>
        </w:rPr>
        <w:t>Nr. 4.1 Vergütung nach Aufwand</w:t>
      </w:r>
    </w:p>
    <w:p w14:paraId="2762F072" w14:textId="77777777" w:rsidR="006D6FC8" w:rsidRPr="007735F7" w:rsidRDefault="009C3157" w:rsidP="00AE2689">
      <w:pPr>
        <w:spacing w:line="360" w:lineRule="auto"/>
        <w:jc w:val="both"/>
      </w:pPr>
      <w:r w:rsidRPr="007735F7">
        <w:t xml:space="preserve">Im beigefügten Preisblatt ist die monatliche Bereitstellungsgebühr je Bandbreite sowie der evtl. anfallende Einmalaufwand für die Ersteinrichtung von Standorten aufgeführt. Darüber hinaus gehende sonstige Dienstleistungen werden gesondert beauftragt und nach Aufwand vergütet. </w:t>
      </w:r>
      <w:r w:rsidRPr="007735F7">
        <w:rPr>
          <w:rFonts w:cs="Arial"/>
        </w:rPr>
        <w:t>Voraussetzung ist hierfür, dass die Auftragnehmerin in Textform per Fax oder per Mail vorab ein Angebot über die Höhe der voraussichtlich anfallenden Aufwendungen vorlegt.  Derartige Aufträge müssen von der Auftraggeberin in Textform per Fax oder per Mail erteilt werden.</w:t>
      </w:r>
      <w:r w:rsidRPr="007735F7">
        <w:t xml:space="preserve"> </w:t>
      </w:r>
    </w:p>
    <w:p w14:paraId="19AF0C60" w14:textId="77777777" w:rsidR="006D6FC8" w:rsidRPr="007735F7" w:rsidRDefault="006D6FC8" w:rsidP="00AE2689">
      <w:pPr>
        <w:spacing w:after="200" w:line="360" w:lineRule="auto"/>
        <w:jc w:val="both"/>
      </w:pPr>
    </w:p>
    <w:p w14:paraId="6B7A72DF" w14:textId="0F3A4A5A" w:rsidR="006D6FC8" w:rsidRPr="007735F7" w:rsidRDefault="009C3157" w:rsidP="00AE2689">
      <w:pPr>
        <w:spacing w:after="200" w:line="360" w:lineRule="auto"/>
        <w:jc w:val="both"/>
      </w:pPr>
      <w:r w:rsidRPr="007735F7">
        <w:t>Für die Vergütung nach Aufwand g</w:t>
      </w:r>
      <w:r w:rsidR="008634BD">
        <w:t>ilt</w:t>
      </w:r>
      <w:r w:rsidRPr="007735F7">
        <w:t xml:space="preserve"> die in Nr. 4.1.1 aufgeführte Kategorie</w:t>
      </w:r>
      <w:r w:rsidR="008634BD">
        <w:t xml:space="preserve"> 1</w:t>
      </w:r>
      <w:r w:rsidRPr="007735F7">
        <w:t xml:space="preserve">. </w:t>
      </w:r>
      <w:r w:rsidR="008634BD">
        <w:t xml:space="preserve">Bei dieser </w:t>
      </w:r>
      <w:r w:rsidRPr="007735F7">
        <w:t>Kategorie ist ein Stundensatz oder ein Tagessatz anzubieten. Diese Sätze verstehen sich inkl. Anfahrt und Fahrtzeit vom Sitz der Auftragnehmerin bis zum Standort der Auftraggeberin und zurück sowie etwaige, im Einzelfall zusätzlich anfallende Material-</w:t>
      </w:r>
      <w:r w:rsidR="00B84DEB">
        <w:t xml:space="preserve"> </w:t>
      </w:r>
      <w:r w:rsidRPr="007735F7">
        <w:t>und Nebenkosten.</w:t>
      </w:r>
    </w:p>
    <w:p w14:paraId="4270A26F" w14:textId="77777777" w:rsidR="00B84DEB" w:rsidRDefault="00B84DEB" w:rsidP="00B84DEB">
      <w:pPr>
        <w:spacing w:after="200" w:line="276" w:lineRule="auto"/>
        <w:jc w:val="both"/>
        <w:rPr>
          <w:b/>
          <w:u w:val="single"/>
        </w:rPr>
      </w:pPr>
    </w:p>
    <w:p w14:paraId="0D9D9800" w14:textId="71DCE601" w:rsidR="00B84DEB" w:rsidRDefault="009C3157" w:rsidP="00B84DEB">
      <w:pPr>
        <w:spacing w:after="200" w:line="276" w:lineRule="auto"/>
        <w:jc w:val="both"/>
        <w:rPr>
          <w:b/>
          <w:u w:val="single"/>
        </w:rPr>
      </w:pPr>
      <w:r w:rsidRPr="007735F7">
        <w:rPr>
          <w:b/>
          <w:u w:val="single"/>
        </w:rPr>
        <w:t>Nr. 4.1.5 Fälligkeit und Zahlung</w:t>
      </w:r>
    </w:p>
    <w:p w14:paraId="60577AFA" w14:textId="23BC65E4" w:rsidR="007735F7" w:rsidRPr="007735F7" w:rsidRDefault="009C3157" w:rsidP="00B84DEB">
      <w:pPr>
        <w:spacing w:after="200" w:line="360" w:lineRule="auto"/>
        <w:jc w:val="both"/>
      </w:pPr>
      <w:r w:rsidRPr="007735F7">
        <w:lastRenderedPageBreak/>
        <w:t xml:space="preserve">Es dürfen nur produktiv genutzte Außenstellen abgerechnet werden. </w:t>
      </w:r>
      <w:r w:rsidR="007735F7" w:rsidRPr="007735F7">
        <w:t xml:space="preserve">Die Rechnungsstellung muss als monatliche Sammelrechnung erfolgen. Auf </w:t>
      </w:r>
      <w:r w:rsidR="00F77D0F">
        <w:t>jeder</w:t>
      </w:r>
      <w:r w:rsidR="007735F7" w:rsidRPr="007735F7">
        <w:t xml:space="preserve"> Sammelrechnung müssen die einzelnen Standorte und die zugehörigen</w:t>
      </w:r>
      <w:r w:rsidR="00F77D0F">
        <w:t xml:space="preserve"> verbrauchsabhängigen Gebühren je Standort</w:t>
      </w:r>
      <w:r w:rsidR="007735F7" w:rsidRPr="007735F7">
        <w:t xml:space="preserve"> </w:t>
      </w:r>
      <w:r w:rsidR="00F77D0F">
        <w:t xml:space="preserve">aufgeführt werden. </w:t>
      </w:r>
    </w:p>
    <w:p w14:paraId="282ED8A6" w14:textId="4A53C400" w:rsidR="006D6FC8" w:rsidRPr="007735F7" w:rsidRDefault="009C3157" w:rsidP="00AE2689">
      <w:pPr>
        <w:spacing w:line="360" w:lineRule="auto"/>
        <w:jc w:val="both"/>
        <w:rPr>
          <w:rStyle w:val="Hervorhebung"/>
        </w:rPr>
      </w:pPr>
      <w:r w:rsidRPr="007735F7">
        <w:rPr>
          <w:rStyle w:val="Hervorhebung"/>
        </w:rPr>
        <w:t xml:space="preserve">Die Abrechnung der monatlichen Bereitstellungsgebühr </w:t>
      </w:r>
      <w:r w:rsidR="00F77D0F">
        <w:rPr>
          <w:rStyle w:val="Hervorhebung"/>
        </w:rPr>
        <w:t>wird</w:t>
      </w:r>
      <w:r w:rsidRPr="007735F7">
        <w:rPr>
          <w:rStyle w:val="Hervorhebung"/>
        </w:rPr>
        <w:t xml:space="preserve"> von der Auftragnehmerin monatlich</w:t>
      </w:r>
      <w:r w:rsidR="00F7630A">
        <w:rPr>
          <w:rStyle w:val="Hervorhebung"/>
        </w:rPr>
        <w:t xml:space="preserve"> zum 1. eines Monats </w:t>
      </w:r>
      <w:r w:rsidR="00F77D0F">
        <w:rPr>
          <w:rStyle w:val="Hervorhebung"/>
        </w:rPr>
        <w:t xml:space="preserve">fakturiert. </w:t>
      </w:r>
    </w:p>
    <w:p w14:paraId="1B503C82" w14:textId="0B47097D" w:rsidR="00F77D0F" w:rsidRDefault="009C3157" w:rsidP="007735F7">
      <w:pPr>
        <w:spacing w:line="276" w:lineRule="auto"/>
        <w:jc w:val="both"/>
        <w:rPr>
          <w:rStyle w:val="Hervorhebung"/>
        </w:rPr>
      </w:pPr>
      <w:r w:rsidRPr="007735F7">
        <w:rPr>
          <w:rStyle w:val="Hervorhebung"/>
        </w:rPr>
        <w:t xml:space="preserve">Jede Monatsabrechnung ist fällig ab Eingang bei der Auftraggeberin, innerhalb von </w:t>
      </w:r>
      <w:r w:rsidR="00F77D0F">
        <w:rPr>
          <w:rStyle w:val="Hervorhebung"/>
        </w:rPr>
        <w:t>14</w:t>
      </w:r>
      <w:r w:rsidRPr="007735F7">
        <w:rPr>
          <w:rStyle w:val="Hervorhebung"/>
        </w:rPr>
        <w:t xml:space="preserve"> </w:t>
      </w:r>
    </w:p>
    <w:p w14:paraId="283A2DA6" w14:textId="25DFF1E9" w:rsidR="006D6FC8" w:rsidRPr="007735F7" w:rsidRDefault="009C3157" w:rsidP="007735F7">
      <w:pPr>
        <w:spacing w:line="276" w:lineRule="auto"/>
        <w:jc w:val="both"/>
        <w:rPr>
          <w:rStyle w:val="Hervorhebung"/>
        </w:rPr>
      </w:pPr>
      <w:r w:rsidRPr="007735F7">
        <w:rPr>
          <w:rStyle w:val="Hervorhebung"/>
        </w:rPr>
        <w:t>Tagen netto</w:t>
      </w:r>
      <w:r w:rsidR="00F77D0F">
        <w:rPr>
          <w:rStyle w:val="Hervorhebung"/>
        </w:rPr>
        <w:t>.</w:t>
      </w:r>
    </w:p>
    <w:p w14:paraId="06EAAF34" w14:textId="77777777" w:rsidR="003430B8" w:rsidRDefault="003430B8" w:rsidP="007735F7">
      <w:pPr>
        <w:spacing w:line="276" w:lineRule="auto"/>
        <w:jc w:val="both"/>
        <w:rPr>
          <w:rStyle w:val="Hervorhebung"/>
          <w:b/>
          <w:u w:val="single"/>
        </w:rPr>
      </w:pPr>
    </w:p>
    <w:p w14:paraId="3CA90C7D" w14:textId="77777777" w:rsidR="003430B8" w:rsidRDefault="003430B8" w:rsidP="007735F7">
      <w:pPr>
        <w:spacing w:line="276" w:lineRule="auto"/>
        <w:jc w:val="both"/>
        <w:rPr>
          <w:rStyle w:val="Hervorhebung"/>
          <w:b/>
          <w:u w:val="single"/>
        </w:rPr>
      </w:pPr>
    </w:p>
    <w:p w14:paraId="1F725CA8" w14:textId="77777777" w:rsidR="00B84DEB" w:rsidRDefault="009C3157" w:rsidP="00B84DEB">
      <w:pPr>
        <w:spacing w:line="360" w:lineRule="auto"/>
        <w:jc w:val="both"/>
        <w:rPr>
          <w:rStyle w:val="Hervorhebung"/>
          <w:b/>
          <w:u w:val="single"/>
        </w:rPr>
      </w:pPr>
      <w:r w:rsidRPr="007735F7">
        <w:rPr>
          <w:rStyle w:val="Hervorhebung"/>
          <w:b/>
          <w:u w:val="single"/>
        </w:rPr>
        <w:t>Nr. 13.1 Datenschutz/Geheimhaltung und Sicherheit</w:t>
      </w:r>
    </w:p>
    <w:p w14:paraId="61195228" w14:textId="3374B5E2" w:rsidR="006D6FC8" w:rsidRPr="007735F7" w:rsidRDefault="009C3157" w:rsidP="00B84DEB">
      <w:pPr>
        <w:spacing w:line="360" w:lineRule="auto"/>
        <w:jc w:val="both"/>
        <w:rPr>
          <w:bCs/>
        </w:rPr>
      </w:pPr>
      <w:r w:rsidRPr="007735F7">
        <w:rPr>
          <w:bCs/>
        </w:rPr>
        <w:t xml:space="preserve">Für den Schutz personenbezogener Daten, hierunter fällt das Anzeigen von Verbindungsdaten wie dienstliche oder private Telefonnummern im Rahmen der zu erbringenden Vertragsleistung, gelten die Bestimmungen des Telekommunikationsgesetzes (TKG) gemäß §§ 169 ff. TKG in der aktuell geltenden Fassung. </w:t>
      </w:r>
    </w:p>
    <w:p w14:paraId="2371A7C4" w14:textId="77777777" w:rsidR="006D6FC8" w:rsidRPr="007735F7" w:rsidRDefault="006D6FC8" w:rsidP="003430B8">
      <w:pPr>
        <w:pStyle w:val="Default"/>
        <w:spacing w:line="360" w:lineRule="auto"/>
        <w:jc w:val="both"/>
        <w:rPr>
          <w:rFonts w:ascii="Verdana" w:hAnsi="Verdana"/>
          <w:bCs/>
          <w:sz w:val="20"/>
          <w:szCs w:val="20"/>
        </w:rPr>
      </w:pPr>
    </w:p>
    <w:p w14:paraId="5A3DDEDF" w14:textId="313721DE" w:rsidR="006D6FC8" w:rsidRPr="007735F7" w:rsidRDefault="009C3157" w:rsidP="003430B8">
      <w:pPr>
        <w:pStyle w:val="Default"/>
        <w:spacing w:line="360" w:lineRule="auto"/>
        <w:jc w:val="both"/>
        <w:rPr>
          <w:rFonts w:ascii="Verdana" w:hAnsi="Verdana"/>
          <w:bCs/>
          <w:sz w:val="20"/>
          <w:szCs w:val="20"/>
        </w:rPr>
      </w:pPr>
      <w:r w:rsidRPr="007735F7">
        <w:rPr>
          <w:rFonts w:ascii="Verdana" w:hAnsi="Verdana"/>
          <w:bCs/>
          <w:sz w:val="20"/>
          <w:szCs w:val="20"/>
        </w:rPr>
        <w:t>Die datenschutzrechtlichen Regelungen durch das Telekommunikationsgesetz sind sehr weitreichend. Um jedoch die besonderen Datenschutzanforderungen der Auftraggeberin zu wahren, muss zusätzlich die Vereinbarung zur Auftragsverarbeitung gemäß Art. 28 DSGVO (Anlage 5) vereinbart werden. Durch diese Vereinbarung ist sichergestellt, dass die Verantwortung für die Einhaltung von datenschutzrechtlichen Regelungen im Sinne der DSGVO bei der Auftraggeberin liegt und die Auftragnehmerin zur Einhaltung verpflichtet wird.</w:t>
      </w:r>
    </w:p>
    <w:p w14:paraId="129BF498" w14:textId="77777777" w:rsidR="006D6FC8" w:rsidRPr="007735F7" w:rsidRDefault="009C3157" w:rsidP="003430B8">
      <w:pPr>
        <w:pStyle w:val="Default"/>
        <w:spacing w:line="360" w:lineRule="auto"/>
        <w:jc w:val="both"/>
        <w:rPr>
          <w:rFonts w:ascii="Verdana" w:hAnsi="Verdana"/>
          <w:bCs/>
          <w:sz w:val="20"/>
          <w:szCs w:val="20"/>
        </w:rPr>
      </w:pPr>
      <w:r w:rsidRPr="007735F7">
        <w:rPr>
          <w:rFonts w:ascii="Verdana" w:hAnsi="Verdana"/>
          <w:bCs/>
          <w:sz w:val="20"/>
          <w:szCs w:val="20"/>
        </w:rPr>
        <w:t xml:space="preserve"> </w:t>
      </w:r>
    </w:p>
    <w:p w14:paraId="04032E0F" w14:textId="1DE018BE" w:rsidR="006D6FC8" w:rsidRPr="007735F7" w:rsidRDefault="009C3157" w:rsidP="003430B8">
      <w:pPr>
        <w:spacing w:line="360" w:lineRule="auto"/>
        <w:jc w:val="both"/>
        <w:rPr>
          <w:rStyle w:val="Hervorhebung"/>
          <w:b/>
          <w:u w:val="single"/>
        </w:rPr>
      </w:pPr>
      <w:r w:rsidRPr="007735F7">
        <w:rPr>
          <w:rStyle w:val="Hervorhebung"/>
          <w:b/>
          <w:u w:val="single"/>
        </w:rPr>
        <w:t>Sonstige Vereinbarungen</w:t>
      </w:r>
    </w:p>
    <w:p w14:paraId="090AA9D4" w14:textId="77777777" w:rsidR="006D6FC8" w:rsidRPr="007735F7" w:rsidRDefault="006D6FC8" w:rsidP="003430B8">
      <w:pPr>
        <w:spacing w:line="360" w:lineRule="auto"/>
        <w:jc w:val="both"/>
        <w:rPr>
          <w:rStyle w:val="Hervorhebung"/>
        </w:rPr>
      </w:pPr>
    </w:p>
    <w:p w14:paraId="7921DC37" w14:textId="77777777" w:rsidR="006D6FC8" w:rsidRPr="007735F7" w:rsidRDefault="009C3157" w:rsidP="003430B8">
      <w:pPr>
        <w:spacing w:line="360" w:lineRule="auto"/>
        <w:jc w:val="both"/>
        <w:rPr>
          <w:rStyle w:val="Hervorhebung"/>
        </w:rPr>
      </w:pPr>
      <w:r w:rsidRPr="007735F7">
        <w:rPr>
          <w:rStyle w:val="Hervorhebung"/>
        </w:rPr>
        <w:t>a)</w:t>
      </w:r>
    </w:p>
    <w:p w14:paraId="766D01F4" w14:textId="21E6A735" w:rsidR="006D6FC8" w:rsidRDefault="009C3157" w:rsidP="003430B8">
      <w:pPr>
        <w:spacing w:line="360" w:lineRule="auto"/>
        <w:jc w:val="both"/>
        <w:rPr>
          <w:rStyle w:val="Hervorhebung"/>
        </w:rPr>
      </w:pPr>
      <w:r w:rsidRPr="007735F7">
        <w:rPr>
          <w:rStyle w:val="Hervorhebung"/>
        </w:rPr>
        <w:t xml:space="preserve">Gerichtsstand ist Mülheim an der Ruhr. </w:t>
      </w:r>
    </w:p>
    <w:p w14:paraId="066F5C0D" w14:textId="77777777" w:rsidR="008F231A" w:rsidRPr="007735F7" w:rsidRDefault="008F231A" w:rsidP="003430B8">
      <w:pPr>
        <w:spacing w:line="360" w:lineRule="auto"/>
        <w:jc w:val="both"/>
        <w:rPr>
          <w:rStyle w:val="Hervorhebung"/>
        </w:rPr>
      </w:pPr>
    </w:p>
    <w:p w14:paraId="4EF0DE42" w14:textId="0637AB41" w:rsidR="006D6FC8" w:rsidRPr="007735F7" w:rsidRDefault="008F231A" w:rsidP="003430B8">
      <w:pPr>
        <w:spacing w:line="360" w:lineRule="auto"/>
        <w:jc w:val="both"/>
        <w:rPr>
          <w:rStyle w:val="Hervorhebung"/>
        </w:rPr>
      </w:pPr>
      <w:r>
        <w:rPr>
          <w:rStyle w:val="Hervorhebung"/>
        </w:rPr>
        <w:t>b</w:t>
      </w:r>
      <w:r w:rsidR="009C3157" w:rsidRPr="007735F7">
        <w:rPr>
          <w:rStyle w:val="Hervorhebung"/>
        </w:rPr>
        <w:t>)</w:t>
      </w:r>
    </w:p>
    <w:p w14:paraId="098B641E" w14:textId="77777777" w:rsidR="006D6FC8" w:rsidRPr="007735F7" w:rsidRDefault="009C3157" w:rsidP="003430B8">
      <w:pPr>
        <w:autoSpaceDE w:val="0"/>
        <w:autoSpaceDN w:val="0"/>
        <w:adjustRightInd w:val="0"/>
        <w:spacing w:line="360" w:lineRule="auto"/>
        <w:jc w:val="both"/>
        <w:rPr>
          <w:rFonts w:cs="Arial"/>
        </w:rPr>
      </w:pPr>
      <w:r w:rsidRPr="007735F7">
        <w:t xml:space="preserve">Sollten Regelungen dieses Vertrages ganz oder teilweise unwirksam sein oder werden, so berührt dies die Wirksamkeit der übrigen Regelungen nicht. Die Vertragsparteien verpflichten sich vielmehr, die unwirksame Regelung durch eine solche zu ersetzen, die dem wirtschaftlich Gewollten am nächsten kommt. </w:t>
      </w:r>
    </w:p>
    <w:sectPr w:rsidR="006D6FC8" w:rsidRPr="007735F7">
      <w:footerReference w:type="default" r:id="rId8"/>
      <w:pgSz w:w="11907" w:h="16840"/>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B903E" w14:textId="77777777" w:rsidR="006D6FC8" w:rsidRDefault="009C3157">
      <w:r>
        <w:separator/>
      </w:r>
    </w:p>
  </w:endnote>
  <w:endnote w:type="continuationSeparator" w:id="0">
    <w:p w14:paraId="599C5BA1" w14:textId="77777777" w:rsidR="006D6FC8" w:rsidRDefault="009C3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26C10" w14:textId="77777777" w:rsidR="006D6FC8" w:rsidRDefault="006D6FC8">
    <w:pPr>
      <w:pStyle w:val="Fuzeile"/>
      <w:rPr>
        <w:sz w:val="16"/>
      </w:rPr>
    </w:pPr>
  </w:p>
  <w:p w14:paraId="4728840B" w14:textId="77777777" w:rsidR="006D6FC8" w:rsidRDefault="006D6FC8">
    <w:pPr>
      <w:pStyle w:val="Fuzeile"/>
      <w:rPr>
        <w:sz w:val="16"/>
      </w:rPr>
    </w:pPr>
  </w:p>
  <w:p w14:paraId="785E78DA" w14:textId="77777777" w:rsidR="006D6FC8" w:rsidRDefault="009C3157">
    <w:pPr>
      <w:pStyle w:val="Fuzeile"/>
      <w:rPr>
        <w:sz w:val="16"/>
      </w:rPr>
    </w:pPr>
    <w:r>
      <w:rPr>
        <w:snapToGrid w:val="0"/>
        <w:sz w:val="16"/>
      </w:rPr>
      <w:t xml:space="preserve">Seite </w:t>
    </w:r>
    <w:r>
      <w:rPr>
        <w:snapToGrid w:val="0"/>
        <w:sz w:val="16"/>
      </w:rPr>
      <w:fldChar w:fldCharType="begin"/>
    </w:r>
    <w:r>
      <w:rPr>
        <w:snapToGrid w:val="0"/>
        <w:sz w:val="16"/>
      </w:rPr>
      <w:instrText xml:space="preserve"> PAGE </w:instrText>
    </w:r>
    <w:r>
      <w:rPr>
        <w:snapToGrid w:val="0"/>
        <w:sz w:val="16"/>
      </w:rPr>
      <w:fldChar w:fldCharType="separate"/>
    </w:r>
    <w:r>
      <w:rPr>
        <w:noProof/>
        <w:snapToGrid w:val="0"/>
        <w:sz w:val="16"/>
      </w:rPr>
      <w:t>2</w:t>
    </w:r>
    <w:r>
      <w:rPr>
        <w:snapToGrid w:val="0"/>
        <w:sz w:val="16"/>
      </w:rPr>
      <w:fldChar w:fldCharType="end"/>
    </w:r>
    <w:r>
      <w:rPr>
        <w:snapToGrid w:val="0"/>
        <w:sz w:val="16"/>
      </w:rPr>
      <w:t xml:space="preserve"> von </w:t>
    </w:r>
    <w:r>
      <w:rPr>
        <w:snapToGrid w:val="0"/>
        <w:sz w:val="16"/>
      </w:rPr>
      <w:fldChar w:fldCharType="begin"/>
    </w:r>
    <w:r>
      <w:rPr>
        <w:snapToGrid w:val="0"/>
        <w:sz w:val="16"/>
      </w:rPr>
      <w:instrText xml:space="preserve"> NUMPAGES </w:instrText>
    </w:r>
    <w:r>
      <w:rPr>
        <w:snapToGrid w:val="0"/>
        <w:sz w:val="16"/>
      </w:rPr>
      <w:fldChar w:fldCharType="separate"/>
    </w:r>
    <w:r>
      <w:rPr>
        <w:noProof/>
        <w:snapToGrid w:val="0"/>
        <w:sz w:val="16"/>
      </w:rPr>
      <w:t>3</w:t>
    </w:r>
    <w:r>
      <w:rPr>
        <w:snapToGrid w:val="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5B77F" w14:textId="77777777" w:rsidR="006D6FC8" w:rsidRDefault="009C3157">
      <w:r>
        <w:separator/>
      </w:r>
    </w:p>
  </w:footnote>
  <w:footnote w:type="continuationSeparator" w:id="0">
    <w:p w14:paraId="1B5BE51F" w14:textId="77777777" w:rsidR="006D6FC8" w:rsidRDefault="009C31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07EBB"/>
    <w:multiLevelType w:val="singleLevel"/>
    <w:tmpl w:val="04070011"/>
    <w:lvl w:ilvl="0">
      <w:start w:val="5"/>
      <w:numFmt w:val="decimal"/>
      <w:lvlText w:val="%1)"/>
      <w:lvlJc w:val="left"/>
      <w:pPr>
        <w:tabs>
          <w:tab w:val="num" w:pos="360"/>
        </w:tabs>
        <w:ind w:left="360" w:hanging="360"/>
      </w:pPr>
      <w:rPr>
        <w:rFonts w:hint="default"/>
      </w:rPr>
    </w:lvl>
  </w:abstractNum>
  <w:abstractNum w:abstractNumId="1" w15:restartNumberingAfterBreak="0">
    <w:nsid w:val="05F40060"/>
    <w:multiLevelType w:val="hybridMultilevel"/>
    <w:tmpl w:val="4C1A0248"/>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042FBA"/>
    <w:multiLevelType w:val="multilevel"/>
    <w:tmpl w:val="56EE4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D86A96"/>
    <w:multiLevelType w:val="singleLevel"/>
    <w:tmpl w:val="B76882D2"/>
    <w:lvl w:ilvl="0">
      <w:start w:val="4"/>
      <w:numFmt w:val="decimal"/>
      <w:lvlText w:val="%1"/>
      <w:lvlJc w:val="left"/>
      <w:pPr>
        <w:tabs>
          <w:tab w:val="num" w:pos="360"/>
        </w:tabs>
        <w:ind w:left="360" w:hanging="360"/>
      </w:pPr>
      <w:rPr>
        <w:rFonts w:hint="default"/>
      </w:rPr>
    </w:lvl>
  </w:abstractNum>
  <w:abstractNum w:abstractNumId="4" w15:restartNumberingAfterBreak="0">
    <w:nsid w:val="15744914"/>
    <w:multiLevelType w:val="singleLevel"/>
    <w:tmpl w:val="A9547F1A"/>
    <w:lvl w:ilvl="0">
      <w:start w:val="12"/>
      <w:numFmt w:val="decimal"/>
      <w:lvlText w:val="%1"/>
      <w:lvlJc w:val="left"/>
      <w:pPr>
        <w:tabs>
          <w:tab w:val="num" w:pos="705"/>
        </w:tabs>
        <w:ind w:left="705" w:hanging="705"/>
      </w:pPr>
      <w:rPr>
        <w:rFonts w:hint="default"/>
      </w:rPr>
    </w:lvl>
  </w:abstractNum>
  <w:abstractNum w:abstractNumId="5" w15:restartNumberingAfterBreak="0">
    <w:nsid w:val="20AA5AE7"/>
    <w:multiLevelType w:val="singleLevel"/>
    <w:tmpl w:val="04070011"/>
    <w:lvl w:ilvl="0">
      <w:start w:val="1"/>
      <w:numFmt w:val="decimal"/>
      <w:lvlText w:val="%1)"/>
      <w:lvlJc w:val="left"/>
      <w:pPr>
        <w:tabs>
          <w:tab w:val="num" w:pos="360"/>
        </w:tabs>
        <w:ind w:left="360" w:hanging="360"/>
      </w:pPr>
      <w:rPr>
        <w:rFonts w:hint="default"/>
      </w:rPr>
    </w:lvl>
  </w:abstractNum>
  <w:abstractNum w:abstractNumId="6" w15:restartNumberingAfterBreak="0">
    <w:nsid w:val="246978F2"/>
    <w:multiLevelType w:val="hybridMultilevel"/>
    <w:tmpl w:val="330A6D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759464D"/>
    <w:multiLevelType w:val="hybridMultilevel"/>
    <w:tmpl w:val="83C23D7A"/>
    <w:lvl w:ilvl="0" w:tplc="5ED80BA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437669"/>
    <w:multiLevelType w:val="hybridMultilevel"/>
    <w:tmpl w:val="ECA63AE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C487E86"/>
    <w:multiLevelType w:val="multilevel"/>
    <w:tmpl w:val="81DAEEFE"/>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 w15:restartNumberingAfterBreak="0">
    <w:nsid w:val="2E3F75CB"/>
    <w:multiLevelType w:val="hybridMultilevel"/>
    <w:tmpl w:val="850CA624"/>
    <w:lvl w:ilvl="0" w:tplc="40626D0A">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0F43763"/>
    <w:multiLevelType w:val="singleLevel"/>
    <w:tmpl w:val="0A8A9CDA"/>
    <w:lvl w:ilvl="0">
      <w:start w:val="1"/>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40DC0CAE"/>
    <w:multiLevelType w:val="singleLevel"/>
    <w:tmpl w:val="0407000F"/>
    <w:lvl w:ilvl="0">
      <w:start w:val="1"/>
      <w:numFmt w:val="decimal"/>
      <w:lvlText w:val="%1."/>
      <w:lvlJc w:val="left"/>
      <w:pPr>
        <w:tabs>
          <w:tab w:val="num" w:pos="360"/>
        </w:tabs>
        <w:ind w:left="360" w:hanging="360"/>
      </w:pPr>
    </w:lvl>
  </w:abstractNum>
  <w:abstractNum w:abstractNumId="13" w15:restartNumberingAfterBreak="0">
    <w:nsid w:val="438E7291"/>
    <w:multiLevelType w:val="hybridMultilevel"/>
    <w:tmpl w:val="0F04659C"/>
    <w:lvl w:ilvl="0" w:tplc="5ED80BA2">
      <w:start w:val="1"/>
      <w:numFmt w:val="bullet"/>
      <w:lvlText w:val=""/>
      <w:lvlJc w:val="left"/>
      <w:pPr>
        <w:ind w:left="720" w:hanging="360"/>
      </w:pPr>
      <w:rPr>
        <w:rFonts w:ascii="Symbol" w:hAnsi="Symbol" w:hint="default"/>
      </w:rPr>
    </w:lvl>
    <w:lvl w:ilvl="1" w:tplc="85D6D644">
      <w:numFmt w:val="bullet"/>
      <w:lvlText w:val="-"/>
      <w:lvlJc w:val="left"/>
      <w:pPr>
        <w:ind w:left="1440" w:hanging="360"/>
      </w:pPr>
      <w:rPr>
        <w:rFonts w:ascii="Calibri" w:eastAsiaTheme="minorEastAsia" w:hAnsi="Calibri" w:cstheme="minorHAns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6543740"/>
    <w:multiLevelType w:val="singleLevel"/>
    <w:tmpl w:val="BD945D8C"/>
    <w:lvl w:ilvl="0">
      <w:start w:val="4"/>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4A0E35E3"/>
    <w:multiLevelType w:val="hybridMultilevel"/>
    <w:tmpl w:val="DCEE274E"/>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5491EC6"/>
    <w:multiLevelType w:val="hybridMultilevel"/>
    <w:tmpl w:val="AE349A20"/>
    <w:lvl w:ilvl="0" w:tplc="6B82B858">
      <w:start w:val="4"/>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9D47128"/>
    <w:multiLevelType w:val="hybridMultilevel"/>
    <w:tmpl w:val="5F2C9834"/>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1D58C7"/>
    <w:multiLevelType w:val="singleLevel"/>
    <w:tmpl w:val="28D4D73E"/>
    <w:lvl w:ilvl="0">
      <w:start w:val="12"/>
      <w:numFmt w:val="decimal"/>
      <w:lvlText w:val="%1."/>
      <w:lvlJc w:val="left"/>
      <w:pPr>
        <w:tabs>
          <w:tab w:val="num" w:pos="705"/>
        </w:tabs>
        <w:ind w:left="705" w:hanging="705"/>
      </w:pPr>
      <w:rPr>
        <w:rFonts w:hint="default"/>
      </w:rPr>
    </w:lvl>
  </w:abstractNum>
  <w:abstractNum w:abstractNumId="19" w15:restartNumberingAfterBreak="0">
    <w:nsid w:val="69733678"/>
    <w:multiLevelType w:val="multilevel"/>
    <w:tmpl w:val="C2CCB2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EA2FCF"/>
    <w:multiLevelType w:val="hybridMultilevel"/>
    <w:tmpl w:val="F698A544"/>
    <w:lvl w:ilvl="0" w:tplc="967CA0D0">
      <w:numFmt w:val="bullet"/>
      <w:lvlText w:val="-"/>
      <w:lvlJc w:val="left"/>
      <w:pPr>
        <w:ind w:left="720" w:hanging="360"/>
      </w:pPr>
      <w:rPr>
        <w:rFonts w:ascii="Verdana" w:eastAsia="Calibri"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07C1E13"/>
    <w:multiLevelType w:val="hybridMultilevel"/>
    <w:tmpl w:val="5CDCFAB6"/>
    <w:lvl w:ilvl="0" w:tplc="07D24578">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2417487"/>
    <w:multiLevelType w:val="singleLevel"/>
    <w:tmpl w:val="3D2C31E0"/>
    <w:lvl w:ilvl="0">
      <w:start w:val="11"/>
      <w:numFmt w:val="decimal"/>
      <w:lvlText w:val="%1"/>
      <w:lvlJc w:val="left"/>
      <w:pPr>
        <w:tabs>
          <w:tab w:val="num" w:pos="750"/>
        </w:tabs>
        <w:ind w:left="750" w:hanging="750"/>
      </w:pPr>
      <w:rPr>
        <w:rFonts w:hint="default"/>
      </w:rPr>
    </w:lvl>
  </w:abstractNum>
  <w:abstractNum w:abstractNumId="23" w15:restartNumberingAfterBreak="0">
    <w:nsid w:val="727D6402"/>
    <w:multiLevelType w:val="hybridMultilevel"/>
    <w:tmpl w:val="12C470AE"/>
    <w:lvl w:ilvl="0" w:tplc="557CF0D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61853EA"/>
    <w:multiLevelType w:val="hybridMultilevel"/>
    <w:tmpl w:val="5EAA380C"/>
    <w:lvl w:ilvl="0" w:tplc="8EEEE3D0">
      <w:numFmt w:val="bullet"/>
      <w:lvlText w:val="-"/>
      <w:lvlJc w:val="left"/>
      <w:pPr>
        <w:ind w:left="1080" w:hanging="360"/>
      </w:pPr>
      <w:rPr>
        <w:rFonts w:ascii="Verdana" w:eastAsia="Times New Roman" w:hAnsi="Verdana" w:cs="Times New Roman" w:hint="default"/>
        <w:sz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77A41662"/>
    <w:multiLevelType w:val="singleLevel"/>
    <w:tmpl w:val="BBC621F2"/>
    <w:lvl w:ilvl="0">
      <w:start w:val="4"/>
      <w:numFmt w:val="decimal"/>
      <w:lvlText w:val="%1"/>
      <w:lvlJc w:val="left"/>
      <w:pPr>
        <w:tabs>
          <w:tab w:val="num" w:pos="705"/>
        </w:tabs>
        <w:ind w:left="705" w:hanging="705"/>
      </w:pPr>
      <w:rPr>
        <w:rFonts w:hint="default"/>
      </w:rPr>
    </w:lvl>
  </w:abstractNum>
  <w:abstractNum w:abstractNumId="26" w15:restartNumberingAfterBreak="0">
    <w:nsid w:val="77DF6BE0"/>
    <w:multiLevelType w:val="multilevel"/>
    <w:tmpl w:val="61B03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CDE1F9B"/>
    <w:multiLevelType w:val="singleLevel"/>
    <w:tmpl w:val="5256231A"/>
    <w:lvl w:ilvl="0">
      <w:start w:val="15"/>
      <w:numFmt w:val="decimal"/>
      <w:lvlText w:val="%1."/>
      <w:lvlJc w:val="left"/>
      <w:pPr>
        <w:tabs>
          <w:tab w:val="num" w:pos="705"/>
        </w:tabs>
        <w:ind w:left="705" w:hanging="705"/>
      </w:pPr>
      <w:rPr>
        <w:rFonts w:hint="default"/>
      </w:rPr>
    </w:lvl>
  </w:abstractNum>
  <w:abstractNum w:abstractNumId="28" w15:restartNumberingAfterBreak="0">
    <w:nsid w:val="7F1105C4"/>
    <w:multiLevelType w:val="multilevel"/>
    <w:tmpl w:val="B756E1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3848060">
    <w:abstractNumId w:val="12"/>
  </w:num>
  <w:num w:numId="2" w16cid:durableId="1200555131">
    <w:abstractNumId w:val="9"/>
  </w:num>
  <w:num w:numId="3" w16cid:durableId="1314871212">
    <w:abstractNumId w:val="5"/>
  </w:num>
  <w:num w:numId="4" w16cid:durableId="1590696679">
    <w:abstractNumId w:val="0"/>
  </w:num>
  <w:num w:numId="5" w16cid:durableId="1746874289">
    <w:abstractNumId w:val="11"/>
  </w:num>
  <w:num w:numId="6" w16cid:durableId="13464851">
    <w:abstractNumId w:val="18"/>
  </w:num>
  <w:num w:numId="7" w16cid:durableId="296884462">
    <w:abstractNumId w:val="27"/>
  </w:num>
  <w:num w:numId="8" w16cid:durableId="659427926">
    <w:abstractNumId w:val="25"/>
  </w:num>
  <w:num w:numId="9" w16cid:durableId="15272328">
    <w:abstractNumId w:val="14"/>
  </w:num>
  <w:num w:numId="10" w16cid:durableId="1919560399">
    <w:abstractNumId w:val="22"/>
  </w:num>
  <w:num w:numId="11" w16cid:durableId="532041800">
    <w:abstractNumId w:val="3"/>
  </w:num>
  <w:num w:numId="12" w16cid:durableId="1596284976">
    <w:abstractNumId w:val="4"/>
  </w:num>
  <w:num w:numId="13" w16cid:durableId="1097675310">
    <w:abstractNumId w:val="8"/>
  </w:num>
  <w:num w:numId="14" w16cid:durableId="689333096">
    <w:abstractNumId w:val="2"/>
  </w:num>
  <w:num w:numId="15" w16cid:durableId="163279860">
    <w:abstractNumId w:val="19"/>
  </w:num>
  <w:num w:numId="16" w16cid:durableId="836458385">
    <w:abstractNumId w:val="28"/>
  </w:num>
  <w:num w:numId="17" w16cid:durableId="1036200471">
    <w:abstractNumId w:val="1"/>
  </w:num>
  <w:num w:numId="18" w16cid:durableId="720715451">
    <w:abstractNumId w:val="21"/>
  </w:num>
  <w:num w:numId="19" w16cid:durableId="56823626">
    <w:abstractNumId w:val="17"/>
  </w:num>
  <w:num w:numId="20" w16cid:durableId="1073041784">
    <w:abstractNumId w:val="6"/>
  </w:num>
  <w:num w:numId="21" w16cid:durableId="156658258">
    <w:abstractNumId w:val="24"/>
  </w:num>
  <w:num w:numId="22" w16cid:durableId="400256620">
    <w:abstractNumId w:val="15"/>
  </w:num>
  <w:num w:numId="23" w16cid:durableId="207230554">
    <w:abstractNumId w:val="26"/>
  </w:num>
  <w:num w:numId="24" w16cid:durableId="501433669">
    <w:abstractNumId w:val="20"/>
  </w:num>
  <w:num w:numId="25" w16cid:durableId="659650885">
    <w:abstractNumId w:val="10"/>
  </w:num>
  <w:num w:numId="26" w16cid:durableId="549413972">
    <w:abstractNumId w:val="13"/>
  </w:num>
  <w:num w:numId="27" w16cid:durableId="1253390424">
    <w:abstractNumId w:val="7"/>
  </w:num>
  <w:num w:numId="28" w16cid:durableId="590553666">
    <w:abstractNumId w:val="23"/>
  </w:num>
  <w:num w:numId="29" w16cid:durableId="21436882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FC8"/>
    <w:rsid w:val="00073991"/>
    <w:rsid w:val="000D317D"/>
    <w:rsid w:val="001008EF"/>
    <w:rsid w:val="00143DBF"/>
    <w:rsid w:val="001D6E6F"/>
    <w:rsid w:val="002621DB"/>
    <w:rsid w:val="002F73DD"/>
    <w:rsid w:val="003430B8"/>
    <w:rsid w:val="003569FC"/>
    <w:rsid w:val="00423C79"/>
    <w:rsid w:val="0045380B"/>
    <w:rsid w:val="004C2A24"/>
    <w:rsid w:val="005472A0"/>
    <w:rsid w:val="005F0188"/>
    <w:rsid w:val="00615ADE"/>
    <w:rsid w:val="006D6FC8"/>
    <w:rsid w:val="007735F7"/>
    <w:rsid w:val="00801F1A"/>
    <w:rsid w:val="00814FCD"/>
    <w:rsid w:val="008634BD"/>
    <w:rsid w:val="008762AC"/>
    <w:rsid w:val="008F231A"/>
    <w:rsid w:val="00903D25"/>
    <w:rsid w:val="00966BB9"/>
    <w:rsid w:val="009C3157"/>
    <w:rsid w:val="009E10AC"/>
    <w:rsid w:val="00A43041"/>
    <w:rsid w:val="00A845D3"/>
    <w:rsid w:val="00A936EC"/>
    <w:rsid w:val="00AE2689"/>
    <w:rsid w:val="00B47412"/>
    <w:rsid w:val="00B84DEB"/>
    <w:rsid w:val="00BF423B"/>
    <w:rsid w:val="00BF449A"/>
    <w:rsid w:val="00C07795"/>
    <w:rsid w:val="00C10AA5"/>
    <w:rsid w:val="00C2532B"/>
    <w:rsid w:val="00CD5760"/>
    <w:rsid w:val="00CE6058"/>
    <w:rsid w:val="00D2611A"/>
    <w:rsid w:val="00DB45C0"/>
    <w:rsid w:val="00EC18B0"/>
    <w:rsid w:val="00ED2357"/>
    <w:rsid w:val="00ED4BD9"/>
    <w:rsid w:val="00F463CB"/>
    <w:rsid w:val="00F7630A"/>
    <w:rsid w:val="00F77D0F"/>
    <w:rsid w:val="00F87B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22D0F"/>
  <w15:docId w15:val="{FD5B6202-9AC6-4198-8E11-776D04BCE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hAnsi="Verdana"/>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5">
    <w:name w:val="heading 5"/>
    <w:basedOn w:val="Standard"/>
    <w:next w:val="Standard"/>
    <w:qFormat/>
    <w:pPr>
      <w:keepNext/>
      <w:outlineLvl w:val="4"/>
    </w:pPr>
    <w:rPr>
      <w:b/>
      <w:sz w:val="24"/>
      <w:u w:val="single"/>
    </w:rPr>
  </w:style>
  <w:style w:type="paragraph" w:styleId="berschrift6">
    <w:name w:val="heading 6"/>
    <w:basedOn w:val="Standard"/>
    <w:next w:val="Standard"/>
    <w:qFormat/>
    <w:pPr>
      <w:spacing w:before="240" w:after="60"/>
      <w:outlineLvl w:val="5"/>
    </w:pPr>
    <w:rPr>
      <w:i/>
      <w:sz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semiHidden/>
    <w:pPr>
      <w:ind w:left="400" w:hanging="400"/>
    </w:pPr>
  </w:style>
  <w:style w:type="paragraph" w:styleId="Verzeichnis1">
    <w:name w:val="toc 1"/>
    <w:basedOn w:val="Standard"/>
    <w:next w:val="Standard"/>
    <w:semiHidden/>
    <w:pPr>
      <w:tabs>
        <w:tab w:val="right" w:leader="dot" w:pos="8788"/>
      </w:tabs>
      <w:spacing w:before="120" w:after="120" w:line="360" w:lineRule="auto"/>
    </w:pPr>
    <w:rPr>
      <w:b/>
    </w:rPr>
  </w:style>
  <w:style w:type="paragraph" w:styleId="Verzeichnis2">
    <w:name w:val="toc 2"/>
    <w:basedOn w:val="Standard"/>
    <w:next w:val="Standard"/>
    <w:semiHidden/>
    <w:pPr>
      <w:tabs>
        <w:tab w:val="right" w:leader="dot" w:pos="8788"/>
      </w:tabs>
      <w:spacing w:line="360" w:lineRule="auto"/>
      <w:ind w:left="200"/>
    </w:pPr>
    <w:rPr>
      <w:sz w:val="22"/>
    </w:rPr>
  </w:style>
  <w:style w:type="character" w:styleId="Seitenzahl">
    <w:name w:val="page number"/>
    <w:semiHidden/>
    <w:rPr>
      <w:rFonts w:ascii="Verdana" w:hAnsi="Verdana"/>
    </w:rPr>
  </w:style>
  <w:style w:type="character" w:styleId="Funotenzeichen">
    <w:name w:val="footnote reference"/>
    <w:semiHidden/>
    <w:rPr>
      <w:rFonts w:ascii="Verdana" w:hAnsi="Verdana"/>
      <w:vertAlign w:val="superscript"/>
    </w:rPr>
  </w:style>
  <w:style w:type="character" w:styleId="Endnotenzeichen">
    <w:name w:val="endnote reference"/>
    <w:semiHidden/>
    <w:rPr>
      <w:rFonts w:ascii="Verdana" w:hAnsi="Verdana"/>
      <w:vertAlign w:val="superscript"/>
    </w:rPr>
  </w:style>
  <w:style w:type="paragraph" w:styleId="Umschlagabsenderadresse">
    <w:name w:val="envelope return"/>
    <w:basedOn w:val="Standard"/>
    <w:next w:val="NurText"/>
    <w:semiHidden/>
  </w:style>
  <w:style w:type="paragraph" w:styleId="NurText">
    <w:name w:val="Plain Text"/>
    <w:basedOn w:val="Standard"/>
    <w:link w:val="NurTextZchn"/>
    <w:semiHidden/>
  </w:style>
  <w:style w:type="paragraph" w:customStyle="1" w:styleId="AntwortenWeiterleiten-Information">
    <w:name w:val="Antworten/Weiterleiten-Information"/>
    <w:basedOn w:val="Standard"/>
    <w:next w:val="Standard"/>
    <w:pPr>
      <w:pBdr>
        <w:left w:val="single" w:sz="18" w:space="1" w:color="auto"/>
      </w:pBdr>
      <w:shd w:val="pct10" w:color="auto" w:fill="auto"/>
    </w:pPr>
    <w:rPr>
      <w:b/>
    </w:rPr>
  </w:style>
  <w:style w:type="paragraph" w:customStyle="1" w:styleId="AntwortenWeiterleiten-Nachrichtenkopf">
    <w:name w:val="Antworten/Weiterleiten-Nachrichtenkopf"/>
    <w:basedOn w:val="Standard"/>
    <w:pPr>
      <w:pBdr>
        <w:left w:val="single" w:sz="18" w:space="1" w:color="auto"/>
      </w:pBdr>
    </w:pPr>
  </w:style>
  <w:style w:type="character" w:styleId="Hervorhebung">
    <w:name w:val="Emphasis"/>
    <w:uiPriority w:val="20"/>
    <w:qFormat/>
    <w:rPr>
      <w:rFonts w:ascii="Verdana" w:hAnsi="Verdana"/>
    </w:rPr>
  </w:style>
  <w:style w:type="character" w:styleId="BesuchterLink">
    <w:name w:val="FollowedHyperlink"/>
    <w:semiHidden/>
    <w:rPr>
      <w:rFonts w:ascii="Verdana" w:hAnsi="Verdana"/>
      <w:color w:val="800080"/>
      <w:sz w:val="16"/>
      <w:u w:val="single"/>
    </w:rPr>
  </w:style>
  <w:style w:type="character" w:styleId="Hyperlink">
    <w:name w:val="Hyperlink"/>
    <w:semiHidden/>
    <w:rPr>
      <w:rFonts w:ascii="Verdana" w:hAnsi="Verdana"/>
      <w:color w:val="0000FF"/>
      <w:sz w:val="16"/>
      <w:u w:val="single"/>
    </w:rPr>
  </w:style>
  <w:style w:type="paragraph" w:styleId="Index1">
    <w:name w:val="index 1"/>
    <w:basedOn w:val="Standard"/>
    <w:next w:val="Standard"/>
    <w:autoRedefine/>
    <w:semiHidden/>
    <w:pPr>
      <w:ind w:left="200" w:hanging="200"/>
    </w:pPr>
  </w:style>
  <w:style w:type="paragraph" w:styleId="Indexberschrift">
    <w:name w:val="index heading"/>
    <w:basedOn w:val="Standard"/>
    <w:next w:val="Index1"/>
    <w:semiHidden/>
    <w:rPr>
      <w:b/>
    </w:rPr>
  </w:style>
  <w:style w:type="character" w:styleId="Kommentarzeichen">
    <w:name w:val="annotation reference"/>
    <w:uiPriority w:val="99"/>
    <w:semiHidden/>
    <w:rPr>
      <w:rFonts w:ascii="Verdana" w:hAnsi="Verdana"/>
      <w:sz w:val="16"/>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Nachrichtenkopf-Ausdruck">
    <w:name w:val="Nachrichtenkopf-Ausdruck"/>
    <w:basedOn w:val="Standard"/>
    <w:next w:val="NurText"/>
    <w:autoRedefine/>
    <w:pPr>
      <w:pBdr>
        <w:left w:val="single" w:sz="18" w:space="1" w:color="auto"/>
      </w:pBdr>
    </w:pPr>
  </w:style>
  <w:style w:type="paragraph" w:customStyle="1" w:styleId="Nachrichtenkopf-AusdruckVon">
    <w:name w:val="Nachrichtenkopf-Ausdruck Von"/>
    <w:basedOn w:val="Standard"/>
    <w:next w:val="Nachrichtenkopf-Ausdruck"/>
    <w:autoRedefine/>
    <w:pPr>
      <w:pBdr>
        <w:left w:val="single" w:sz="18" w:space="1" w:color="auto"/>
      </w:pBdr>
      <w:shd w:val="pct12" w:color="auto" w:fill="auto"/>
    </w:pPr>
    <w:rPr>
      <w:b/>
      <w:sz w:val="22"/>
    </w:rPr>
  </w:style>
  <w:style w:type="character" w:styleId="Fett">
    <w:name w:val="Strong"/>
    <w:qFormat/>
    <w:rPr>
      <w:rFonts w:ascii="Verdana" w:hAnsi="Verdana"/>
      <w:b/>
    </w:rPr>
  </w:style>
  <w:style w:type="paragraph" w:styleId="Titel">
    <w:name w:val="Title"/>
    <w:basedOn w:val="Standard"/>
    <w:qFormat/>
    <w:pPr>
      <w:spacing w:before="240" w:after="60"/>
      <w:jc w:val="center"/>
      <w:outlineLvl w:val="0"/>
    </w:pPr>
    <w:rPr>
      <w:b/>
      <w:kern w:val="28"/>
      <w:sz w:val="32"/>
    </w:rPr>
  </w:style>
  <w:style w:type="paragraph" w:styleId="Umschlagadresse">
    <w:name w:val="envelope address"/>
    <w:basedOn w:val="Standard"/>
    <w:semiHidden/>
    <w:pPr>
      <w:framePr w:w="4320" w:h="2160" w:hRule="exact" w:hSpace="141" w:wrap="auto" w:hAnchor="page" w:xAlign="center" w:yAlign="bottom"/>
      <w:ind w:left="1"/>
    </w:pPr>
    <w:rPr>
      <w:sz w:val="24"/>
    </w:rPr>
  </w:style>
  <w:style w:type="paragraph" w:styleId="Untertitel">
    <w:name w:val="Subtitle"/>
    <w:basedOn w:val="Standard"/>
    <w:qFormat/>
    <w:pPr>
      <w:spacing w:after="60"/>
      <w:jc w:val="center"/>
      <w:outlineLvl w:val="1"/>
    </w:pPr>
    <w:rPr>
      <w:sz w:val="24"/>
    </w:rPr>
  </w:style>
  <w:style w:type="character" w:styleId="Zeilennummer">
    <w:name w:val="line number"/>
    <w:semiHidden/>
    <w:rPr>
      <w:rFonts w:ascii="Verdana" w:hAnsi="Verdana"/>
    </w:rPr>
  </w:style>
  <w:style w:type="paragraph" w:styleId="RGV-berschrift">
    <w:name w:val="toa heading"/>
    <w:basedOn w:val="Standard"/>
    <w:next w:val="Standard"/>
    <w:semiHidden/>
    <w:pPr>
      <w:spacing w:before="120"/>
    </w:pPr>
    <w:rPr>
      <w:b/>
      <w:sz w:val="24"/>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NurTextZchn">
    <w:name w:val="Nur Text Zchn"/>
    <w:link w:val="NurText"/>
    <w:semiHidden/>
    <w:rPr>
      <w:rFonts w:ascii="Verdana" w:hAnsi="Verdana"/>
    </w:rPr>
  </w:style>
  <w:style w:type="paragraph" w:styleId="Textkrper">
    <w:name w:val="Body Text"/>
    <w:basedOn w:val="Standard"/>
    <w:link w:val="TextkrperZchn"/>
    <w:semiHidden/>
    <w:pPr>
      <w:spacing w:line="360" w:lineRule="auto"/>
      <w:jc w:val="both"/>
    </w:pPr>
  </w:style>
  <w:style w:type="character" w:customStyle="1" w:styleId="TextkrperZchn">
    <w:name w:val="Textkörper Zchn"/>
    <w:link w:val="Textkrper"/>
    <w:semiHidden/>
    <w:rPr>
      <w:rFonts w:ascii="Verdana" w:hAnsi="Verdana"/>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sz w:val="24"/>
      <w:szCs w:val="24"/>
    </w:rPr>
  </w:style>
  <w:style w:type="character" w:customStyle="1" w:styleId="KopfzeileZchn">
    <w:name w:val="Kopfzeile Zchn"/>
    <w:basedOn w:val="Absatz-Standardschriftart"/>
    <w:link w:val="Kopfzeile"/>
    <w:uiPriority w:val="99"/>
    <w:rPr>
      <w:rFonts w:ascii="Verdana" w:hAnsi="Verdana"/>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Aufzählung,7. E1-Aufzählung (Ebene1),Aufzählung ohne Unterpunkt,Liste1,3. E1-Aufzählung (Ebene1)"/>
    <w:basedOn w:val="Standard"/>
    <w:link w:val="ListenabsatzZchn"/>
    <w:uiPriority w:val="34"/>
    <w:qFormat/>
    <w:pPr>
      <w:ind w:left="720"/>
      <w:contextualSpacing/>
    </w:pPr>
  </w:style>
  <w:style w:type="paragraph" w:customStyle="1" w:styleId="Tabellenkopf">
    <w:name w:val="Tabellenkopf"/>
    <w:basedOn w:val="Standard"/>
    <w:next w:val="Standard"/>
    <w:autoRedefine/>
    <w:uiPriority w:val="99"/>
    <w:pPr>
      <w:keepNext/>
      <w:widowControl w:val="0"/>
      <w:spacing w:before="120" w:after="120" w:line="240" w:lineRule="atLeast"/>
      <w:ind w:left="-46"/>
      <w:jc w:val="center"/>
    </w:pPr>
    <w:rPr>
      <w:rFonts w:ascii="Arial" w:hAnsi="Arial" w:cs="Arial"/>
    </w:rPr>
  </w:style>
  <w:style w:type="paragraph" w:customStyle="1" w:styleId="Tabellenzeilen">
    <w:name w:val="Tabellenzeilen"/>
    <w:basedOn w:val="Standard"/>
    <w:uiPriority w:val="99"/>
    <w:pPr>
      <w:keepNext/>
      <w:widowControl w:val="0"/>
      <w:spacing w:before="120" w:after="120" w:line="240" w:lineRule="atLeast"/>
    </w:pPr>
    <w:rPr>
      <w:rFonts w:ascii="Arial" w:hAnsi="Arial" w:cs="Arial"/>
      <w:sz w:val="18"/>
      <w:szCs w:val="18"/>
    </w:r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rPr>
      <w:rFonts w:ascii="Verdana" w:hAnsi="Verdana"/>
    </w:rPr>
  </w:style>
  <w:style w:type="paragraph" w:customStyle="1" w:styleId="NurText1">
    <w:name w:val="Nur Text1"/>
    <w:basedOn w:val="Standard"/>
    <w:rPr>
      <w:lang w:eastAsia="ar-SA"/>
    </w:rPr>
  </w:style>
  <w:style w:type="character" w:customStyle="1" w:styleId="ListenabsatzZchn">
    <w:name w:val="Listenabsatz Zchn"/>
    <w:aliases w:val="Aufzählung Zchn,7. E1-Aufzählung (Ebene1) Zchn,Aufzählung ohne Unterpunkt Zchn,Liste1 Zchn,3. E1-Aufzählung (Ebene1) Zchn"/>
    <w:basedOn w:val="Absatz-Standardschriftart"/>
    <w:link w:val="Listenabsatz"/>
    <w:uiPriority w:val="34"/>
    <w:locked/>
    <w:rPr>
      <w:rFonts w:ascii="Verdana" w:hAnsi="Verdana"/>
    </w:rPr>
  </w:style>
  <w:style w:type="paragraph" w:styleId="Kommentartext">
    <w:name w:val="annotation text"/>
    <w:basedOn w:val="Standard"/>
    <w:link w:val="KommentartextZchn"/>
    <w:uiPriority w:val="99"/>
    <w:semiHidden/>
    <w:unhideWhenUsed/>
    <w:pPr>
      <w:spacing w:after="160"/>
    </w:pPr>
    <w:rPr>
      <w:rFonts w:asciiTheme="minorHAnsi" w:eastAsiaTheme="minorEastAsia" w:hAnsiTheme="minorHAnsi" w:cstheme="minorBidi"/>
    </w:rPr>
  </w:style>
  <w:style w:type="character" w:customStyle="1" w:styleId="KommentartextZchn">
    <w:name w:val="Kommentartext Zchn"/>
    <w:basedOn w:val="Absatz-Standardschriftart"/>
    <w:link w:val="Kommentartext"/>
    <w:uiPriority w:val="99"/>
    <w:semiHidden/>
    <w:rPr>
      <w:rFonts w:asciiTheme="minorHAnsi" w:eastAsiaTheme="minorEastAsia" w:hAnsiTheme="minorHAnsi" w:cstheme="minorBidi"/>
    </w:rPr>
  </w:style>
  <w:style w:type="paragraph" w:customStyle="1" w:styleId="Default">
    <w:name w:val="Default"/>
    <w:pPr>
      <w:autoSpaceDE w:val="0"/>
      <w:autoSpaceDN w:val="0"/>
      <w:adjustRightInd w:val="0"/>
    </w:pPr>
    <w:rPr>
      <w:rFonts w:ascii="Arial" w:eastAsiaTheme="minorHAnsi" w:hAnsi="Arial" w:cs="Arial"/>
      <w:color w:val="000000"/>
      <w:sz w:val="24"/>
      <w:szCs w:val="24"/>
      <w:lang w:eastAsia="en-US"/>
    </w:rPr>
  </w:style>
  <w:style w:type="paragraph" w:styleId="berarbeitung">
    <w:name w:val="Revision"/>
    <w:hidden/>
    <w:uiPriority w:val="99"/>
    <w:semiHidden/>
    <w:rsid w:val="00ED2357"/>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49463">
      <w:bodyDiv w:val="1"/>
      <w:marLeft w:val="0"/>
      <w:marRight w:val="0"/>
      <w:marTop w:val="0"/>
      <w:marBottom w:val="0"/>
      <w:divBdr>
        <w:top w:val="none" w:sz="0" w:space="0" w:color="auto"/>
        <w:left w:val="none" w:sz="0" w:space="0" w:color="auto"/>
        <w:bottom w:val="none" w:sz="0" w:space="0" w:color="auto"/>
        <w:right w:val="none" w:sz="0" w:space="0" w:color="auto"/>
      </w:divBdr>
    </w:div>
    <w:div w:id="397947091">
      <w:bodyDiv w:val="1"/>
      <w:marLeft w:val="0"/>
      <w:marRight w:val="0"/>
      <w:marTop w:val="0"/>
      <w:marBottom w:val="0"/>
      <w:divBdr>
        <w:top w:val="none" w:sz="0" w:space="0" w:color="auto"/>
        <w:left w:val="none" w:sz="0" w:space="0" w:color="auto"/>
        <w:bottom w:val="none" w:sz="0" w:space="0" w:color="auto"/>
        <w:right w:val="none" w:sz="0" w:space="0" w:color="auto"/>
      </w:divBdr>
      <w:divsChild>
        <w:div w:id="1192112108">
          <w:marLeft w:val="0"/>
          <w:marRight w:val="0"/>
          <w:marTop w:val="0"/>
          <w:marBottom w:val="0"/>
          <w:divBdr>
            <w:top w:val="none" w:sz="0" w:space="0" w:color="auto"/>
            <w:left w:val="none" w:sz="0" w:space="0" w:color="auto"/>
            <w:bottom w:val="none" w:sz="0" w:space="0" w:color="auto"/>
            <w:right w:val="none" w:sz="0" w:space="0" w:color="auto"/>
          </w:divBdr>
          <w:divsChild>
            <w:div w:id="1167019105">
              <w:marLeft w:val="0"/>
              <w:marRight w:val="0"/>
              <w:marTop w:val="0"/>
              <w:marBottom w:val="0"/>
              <w:divBdr>
                <w:top w:val="none" w:sz="0" w:space="0" w:color="auto"/>
                <w:left w:val="none" w:sz="0" w:space="0" w:color="auto"/>
                <w:bottom w:val="none" w:sz="0" w:space="0" w:color="auto"/>
                <w:right w:val="none" w:sz="0" w:space="0" w:color="auto"/>
              </w:divBdr>
            </w:div>
          </w:divsChild>
        </w:div>
        <w:div w:id="354775582">
          <w:marLeft w:val="0"/>
          <w:marRight w:val="0"/>
          <w:marTop w:val="0"/>
          <w:marBottom w:val="0"/>
          <w:divBdr>
            <w:top w:val="none" w:sz="0" w:space="0" w:color="auto"/>
            <w:left w:val="none" w:sz="0" w:space="0" w:color="auto"/>
            <w:bottom w:val="none" w:sz="0" w:space="0" w:color="auto"/>
            <w:right w:val="none" w:sz="0" w:space="0" w:color="auto"/>
          </w:divBdr>
        </w:div>
        <w:div w:id="260534292">
          <w:marLeft w:val="0"/>
          <w:marRight w:val="0"/>
          <w:marTop w:val="0"/>
          <w:marBottom w:val="0"/>
          <w:divBdr>
            <w:top w:val="none" w:sz="0" w:space="0" w:color="auto"/>
            <w:left w:val="none" w:sz="0" w:space="0" w:color="auto"/>
            <w:bottom w:val="none" w:sz="0" w:space="0" w:color="auto"/>
            <w:right w:val="none" w:sz="0" w:space="0" w:color="auto"/>
          </w:divBdr>
        </w:div>
        <w:div w:id="477383011">
          <w:marLeft w:val="0"/>
          <w:marRight w:val="0"/>
          <w:marTop w:val="0"/>
          <w:marBottom w:val="0"/>
          <w:divBdr>
            <w:top w:val="none" w:sz="0" w:space="0" w:color="auto"/>
            <w:left w:val="none" w:sz="0" w:space="0" w:color="auto"/>
            <w:bottom w:val="none" w:sz="0" w:space="0" w:color="auto"/>
            <w:right w:val="none" w:sz="0" w:space="0" w:color="auto"/>
          </w:divBdr>
        </w:div>
      </w:divsChild>
    </w:div>
    <w:div w:id="562066531">
      <w:bodyDiv w:val="1"/>
      <w:marLeft w:val="0"/>
      <w:marRight w:val="0"/>
      <w:marTop w:val="0"/>
      <w:marBottom w:val="0"/>
      <w:divBdr>
        <w:top w:val="none" w:sz="0" w:space="0" w:color="auto"/>
        <w:left w:val="none" w:sz="0" w:space="0" w:color="auto"/>
        <w:bottom w:val="none" w:sz="0" w:space="0" w:color="auto"/>
        <w:right w:val="none" w:sz="0" w:space="0" w:color="auto"/>
      </w:divBdr>
    </w:div>
    <w:div w:id="706102317">
      <w:bodyDiv w:val="1"/>
      <w:marLeft w:val="0"/>
      <w:marRight w:val="0"/>
      <w:marTop w:val="0"/>
      <w:marBottom w:val="0"/>
      <w:divBdr>
        <w:top w:val="none" w:sz="0" w:space="0" w:color="auto"/>
        <w:left w:val="none" w:sz="0" w:space="0" w:color="auto"/>
        <w:bottom w:val="none" w:sz="0" w:space="0" w:color="auto"/>
        <w:right w:val="none" w:sz="0" w:space="0" w:color="auto"/>
      </w:divBdr>
    </w:div>
    <w:div w:id="1372728790">
      <w:bodyDiv w:val="1"/>
      <w:marLeft w:val="0"/>
      <w:marRight w:val="0"/>
      <w:marTop w:val="0"/>
      <w:marBottom w:val="0"/>
      <w:divBdr>
        <w:top w:val="none" w:sz="0" w:space="0" w:color="auto"/>
        <w:left w:val="none" w:sz="0" w:space="0" w:color="auto"/>
        <w:bottom w:val="none" w:sz="0" w:space="0" w:color="auto"/>
        <w:right w:val="none" w:sz="0" w:space="0" w:color="auto"/>
      </w:divBdr>
    </w:div>
    <w:div w:id="1391002914">
      <w:bodyDiv w:val="1"/>
      <w:marLeft w:val="0"/>
      <w:marRight w:val="0"/>
      <w:marTop w:val="0"/>
      <w:marBottom w:val="0"/>
      <w:divBdr>
        <w:top w:val="none" w:sz="0" w:space="0" w:color="auto"/>
        <w:left w:val="none" w:sz="0" w:space="0" w:color="auto"/>
        <w:bottom w:val="none" w:sz="0" w:space="0" w:color="auto"/>
        <w:right w:val="none" w:sz="0" w:space="0" w:color="auto"/>
      </w:divBdr>
    </w:div>
    <w:div w:id="1474064001">
      <w:bodyDiv w:val="1"/>
      <w:marLeft w:val="0"/>
      <w:marRight w:val="0"/>
      <w:marTop w:val="0"/>
      <w:marBottom w:val="0"/>
      <w:divBdr>
        <w:top w:val="none" w:sz="0" w:space="0" w:color="auto"/>
        <w:left w:val="none" w:sz="0" w:space="0" w:color="auto"/>
        <w:bottom w:val="none" w:sz="0" w:space="0" w:color="auto"/>
        <w:right w:val="none" w:sz="0" w:space="0" w:color="auto"/>
      </w:divBdr>
    </w:div>
    <w:div w:id="208923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B711D-F635-4927-B9CF-C493BC196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917</Words>
  <Characters>6334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Anlage 1</vt:lpstr>
    </vt:vector>
  </TitlesOfParts>
  <Company>Stadtverwaltung Muelheim an der Ruhr</Company>
  <LinksUpToDate>false</LinksUpToDate>
  <CharactersWithSpaces>7237</CharactersWithSpaces>
  <SharedDoc>false</SharedDoc>
  <HLinks>
    <vt:vector size="18" baseType="variant">
      <vt:variant>
        <vt:i4>131105</vt:i4>
      </vt:variant>
      <vt:variant>
        <vt:i4>6</vt:i4>
      </vt:variant>
      <vt:variant>
        <vt:i4>0</vt:i4>
      </vt:variant>
      <vt:variant>
        <vt:i4>5</vt:i4>
      </vt:variant>
      <vt:variant>
        <vt:lpwstr>mailto:Michael.Flettner@stadt-mh.de</vt:lpwstr>
      </vt:variant>
      <vt:variant>
        <vt:lpwstr/>
      </vt:variant>
      <vt:variant>
        <vt:i4>7929934</vt:i4>
      </vt:variant>
      <vt:variant>
        <vt:i4>3</vt:i4>
      </vt:variant>
      <vt:variant>
        <vt:i4>0</vt:i4>
      </vt:variant>
      <vt:variant>
        <vt:i4>5</vt:i4>
      </vt:variant>
      <vt:variant>
        <vt:lpwstr>mailto:sandra.hansmann@muelheim-ruhr.de</vt:lpwstr>
      </vt:variant>
      <vt:variant>
        <vt:lpwstr/>
      </vt:variant>
      <vt:variant>
        <vt:i4>1507381</vt:i4>
      </vt:variant>
      <vt:variant>
        <vt:i4>0</vt:i4>
      </vt:variant>
      <vt:variant>
        <vt:i4>0</vt:i4>
      </vt:variant>
      <vt:variant>
        <vt:i4>5</vt:i4>
      </vt:variant>
      <vt:variant>
        <vt:lpwstr>mailto:Thomas.Boelke@muelheim-ruhr.de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dc:title>
  <dc:creator>MFlettne</dc:creator>
  <cp:lastModifiedBy>Flettner, Michael</cp:lastModifiedBy>
  <cp:revision>131</cp:revision>
  <cp:lastPrinted>2020-09-02T07:58:00Z</cp:lastPrinted>
  <dcterms:created xsi:type="dcterms:W3CDTF">2022-09-05T05:26:00Z</dcterms:created>
  <dcterms:modified xsi:type="dcterms:W3CDTF">2025-07-18T04:28:00Z</dcterms:modified>
</cp:coreProperties>
</file>