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>
      <w:pPr>
        <w:jc w:val="center"/>
        <w:outlineLvl w:val="0"/>
        <w:rPr>
          <w:rFonts w:ascii="Arial" w:hAnsi="Arial" w:cs="Arial"/>
          <w:b/>
          <w:sz w:val="20"/>
        </w:rPr>
      </w:pPr>
    </w:p>
    <w:p>
      <w:pPr>
        <w:pStyle w:val="berschrift1"/>
        <w:jc w:val="center"/>
        <w:rPr>
          <w:rFonts w:ascii="Arial" w:hAnsi="Arial" w:cs="Arial"/>
        </w:rPr>
      </w:pPr>
      <w:r>
        <w:rPr>
          <w:rFonts w:ascii="Arial" w:hAnsi="Arial" w:cs="Arial"/>
        </w:rPr>
        <w:t>Eigenerklärung</w:t>
      </w:r>
    </w:p>
    <w:p>
      <w:pPr>
        <w:pStyle w:val="berschrift1"/>
        <w:jc w:val="center"/>
        <w:rPr>
          <w:rFonts w:ascii="Arial" w:hAnsi="Arial" w:cs="Arial"/>
        </w:rPr>
      </w:pPr>
      <w:r>
        <w:rPr>
          <w:rFonts w:ascii="Arial" w:hAnsi="Arial" w:cs="Arial"/>
        </w:rPr>
        <w:t>nach § 19 Abs. 3 Mindestlohngesetz (</w:t>
      </w:r>
      <w:proofErr w:type="spellStart"/>
      <w:r>
        <w:rPr>
          <w:rFonts w:ascii="Arial" w:hAnsi="Arial" w:cs="Arial"/>
        </w:rPr>
        <w:t>MiLoG</w:t>
      </w:r>
      <w:proofErr w:type="spellEnd"/>
      <w:r>
        <w:rPr>
          <w:rFonts w:ascii="Arial" w:hAnsi="Arial" w:cs="Arial"/>
        </w:rPr>
        <w:t>)</w:t>
      </w:r>
    </w:p>
    <w:p>
      <w:pPr>
        <w:pStyle w:val="berschrift1"/>
        <w:jc w:val="center"/>
        <w:rPr>
          <w:rFonts w:ascii="Arial" w:hAnsi="Arial" w:cs="Arial"/>
          <w:szCs w:val="24"/>
        </w:rPr>
      </w:pPr>
    </w:p>
    <w:p>
      <w:pPr>
        <w:jc w:val="both"/>
        <w:rPr>
          <w:rFonts w:ascii="Times New Roman" w:hAnsi="Times New Roman"/>
          <w:szCs w:val="24"/>
        </w:rPr>
      </w:pPr>
    </w:p>
    <w:p>
      <w:pPr>
        <w:jc w:val="both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Nach § 19 Abs. 3 </w:t>
      </w:r>
      <w:proofErr w:type="spellStart"/>
      <w:r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>
        <w:rPr>
          <w:rFonts w:ascii="Arial" w:eastAsiaTheme="minorHAnsi" w:hAnsi="Arial" w:cs="Arial"/>
          <w:sz w:val="20"/>
          <w:lang w:eastAsia="en-US"/>
        </w:rPr>
        <w:t xml:space="preserve"> fordern öffentliche Auftraggeber beim Wettbewerbsregister</w:t>
      </w:r>
      <w:r>
        <w:rPr>
          <w:rStyle w:val="Funotenzeichen"/>
          <w:rFonts w:ascii="Arial" w:eastAsiaTheme="minorHAnsi" w:hAnsi="Arial" w:cs="Arial"/>
          <w:lang w:eastAsia="en-US"/>
        </w:rPr>
        <w:footnoteReference w:id="1"/>
      </w:r>
      <w:r>
        <w:rPr>
          <w:rFonts w:ascii="Arial" w:eastAsiaTheme="minorHAnsi" w:hAnsi="Arial" w:cs="Arial"/>
          <w:sz w:val="20"/>
          <w:lang w:eastAsia="en-US"/>
        </w:rPr>
        <w:t xml:space="preserve"> Auskünfte über rechtskräftige Bußgeldentscheidungen wegen einer Ordnungswidrigkeit nach § 21 Abs. 1 oder Abs. 2 </w:t>
      </w:r>
      <w:proofErr w:type="spellStart"/>
      <w:r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>
        <w:rPr>
          <w:rFonts w:ascii="Arial" w:eastAsiaTheme="minorHAnsi" w:hAnsi="Arial" w:cs="Arial"/>
          <w:sz w:val="20"/>
          <w:lang w:eastAsia="en-US"/>
        </w:rPr>
        <w:t xml:space="preserve"> an oder verlangen von Bewerberinnen oder Bewerbern eine Erklärung, dass die Voraussetzungen für einen Ausschluss nach § 19 Abs. 1 </w:t>
      </w:r>
      <w:proofErr w:type="spellStart"/>
      <w:r>
        <w:rPr>
          <w:rFonts w:ascii="Arial" w:eastAsiaTheme="minorHAnsi" w:hAnsi="Arial" w:cs="Arial"/>
          <w:sz w:val="20"/>
          <w:lang w:eastAsia="en-US"/>
        </w:rPr>
        <w:t>MiLoG</w:t>
      </w:r>
      <w:proofErr w:type="spellEnd"/>
      <w:r>
        <w:rPr>
          <w:rFonts w:ascii="Arial" w:eastAsiaTheme="minorHAnsi" w:hAnsi="Arial" w:cs="Arial"/>
          <w:sz w:val="20"/>
          <w:lang w:eastAsia="en-US"/>
        </w:rPr>
        <w:t xml:space="preserve"> nicht vorliegen.</w:t>
      </w:r>
    </w:p>
    <w:p>
      <w:pPr>
        <w:jc w:val="center"/>
        <w:outlineLvl w:val="0"/>
        <w:rPr>
          <w:rFonts w:ascii="Arial" w:eastAsiaTheme="minorHAnsi" w:hAnsi="Arial" w:cs="Arial"/>
          <w:sz w:val="20"/>
          <w:lang w:eastAsia="en-US"/>
        </w:rPr>
      </w:pPr>
    </w:p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9634"/>
      </w:tblGrid>
      <w:tr>
        <w:trPr>
          <w:trHeight w:val="1627"/>
        </w:trPr>
        <w:tc>
          <w:tcPr>
            <w:tcW w:w="9634" w:type="dxa"/>
          </w:tcPr>
          <w:p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Hiermit erkläre(n) ich/wir, dass die Voraussetzungen für einen Ausschluss nach </w:t>
            </w:r>
          </w:p>
          <w:p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§ 19 Abs. 1 </w:t>
            </w:r>
            <w:proofErr w:type="spellStart"/>
            <w:r>
              <w:rPr>
                <w:rFonts w:ascii="Arial" w:eastAsiaTheme="minorHAnsi" w:hAnsi="Arial" w:cs="Arial"/>
                <w:sz w:val="20"/>
                <w:lang w:eastAsia="en-US"/>
              </w:rPr>
              <w:t>MiLoG</w:t>
            </w:r>
            <w:proofErr w:type="spellEnd"/>
            <w:r>
              <w:rPr>
                <w:rStyle w:val="Funotenzeichen"/>
                <w:rFonts w:ascii="Arial" w:eastAsiaTheme="minorHAnsi" w:hAnsi="Arial" w:cs="Arial"/>
                <w:vertAlign w:val="superscript"/>
                <w:lang w:eastAsia="en-US"/>
              </w:rPr>
              <w:footnoteReference w:id="2"/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lang w:eastAsia="en-US"/>
              </w:rPr>
              <w:t>nicht vorliegen.</w:t>
            </w:r>
          </w:p>
          <w:p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>
            <w:pPr>
              <w:ind w:right="-57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Ich/Wir habe(n) zur Kenntnis genommen, dass auch im Falle der vorstehenden Erklärung öffentliche </w:t>
            </w:r>
          </w:p>
          <w:p>
            <w:pPr>
              <w:ind w:right="60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Auftraggeber jederzeit zusätzlich Auskünfte aus dem Wettbewerbsregister und ggfs. aus dem Gewerbezentralregisteranfordern können.</w:t>
            </w:r>
          </w:p>
        </w:tc>
      </w:tr>
    </w:tbl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p>
      <w:pPr>
        <w:rPr>
          <w:rFonts w:ascii="Arial" w:hAnsi="Arial"/>
          <w:sz w:val="20"/>
        </w:rPr>
      </w:pPr>
      <w:r>
        <w:rPr>
          <w:rFonts w:cs="Arial"/>
          <w:b/>
          <w:bCs/>
          <w:sz w:val="20"/>
        </w:rPr>
        <w:t>Mit der elektronischen Abgabe dieser Eigenerklärung über das Vergabeportal zusammen mit dem Teilnahmeantrag oder dem Angebot gilt diese als vom Bewerber bzw. Bieter unterschrieben.</w:t>
      </w:r>
    </w:p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p>
      <w:pPr>
        <w:ind w:right="-570"/>
        <w:rPr>
          <w:rFonts w:ascii="Arial" w:eastAsiaTheme="minorHAnsi" w:hAnsi="Arial" w:cs="Arial"/>
          <w:sz w:val="20"/>
          <w:lang w:eastAsia="en-US"/>
        </w:rPr>
      </w:pPr>
    </w:p>
    <w:p>
      <w:pPr>
        <w:jc w:val="both"/>
        <w:rPr>
          <w:rFonts w:ascii="Times New Roman" w:hAnsi="Times New Roman"/>
          <w:szCs w:val="24"/>
        </w:rPr>
      </w:pPr>
    </w:p>
    <w:sectPr>
      <w:headerReference w:type="default" r:id="rId8"/>
      <w:endnotePr>
        <w:numFmt w:val="decimal"/>
      </w:endnotePr>
      <w:pgSz w:w="11905" w:h="16837"/>
      <w:pgMar w:top="1418" w:right="1418" w:bottom="1134" w:left="1418" w:header="720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a Lisa Recu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Zusätzlich können öffentliche Auftraggeber auch freiwillig Auskünfte aus dem Gewerbezentralregister einholen.</w:t>
      </w:r>
    </w:p>
  </w:footnote>
  <w:footnote w:id="2">
    <w:p>
      <w:pPr>
        <w:pStyle w:val="Funotentext"/>
        <w:rPr>
          <w:rFonts w:ascii="Arial" w:hAnsi="Arial" w:cs="Arial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§ 19 Abs. 1 </w:t>
      </w:r>
      <w:proofErr w:type="spellStart"/>
      <w:r>
        <w:rPr>
          <w:rFonts w:ascii="Arial" w:hAnsi="Arial" w:cs="Arial"/>
          <w:sz w:val="16"/>
          <w:szCs w:val="16"/>
        </w:rPr>
        <w:t>MiLoG</w:t>
      </w:r>
      <w:proofErr w:type="spellEnd"/>
      <w:r>
        <w:rPr>
          <w:rFonts w:ascii="Arial" w:hAnsi="Arial" w:cs="Arial"/>
          <w:sz w:val="16"/>
          <w:szCs w:val="16"/>
        </w:rPr>
        <w:t>:</w:t>
      </w:r>
    </w:p>
    <w:p>
      <w:pPr>
        <w:pStyle w:val="Funotentex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Von der Teilnahme an einem Wettbewerb um einen Liefer-, Bau- oder Dienstleistungsauftrag der in § 98 des Gesetzes gegen Wettbewerbsbeschränkungen genannten Auftraggeber sollen Bewerberinnen oder Bewerber für eine angemessene Zeit bis zur nachgewiesenen Wiederherstellung ihrer Zuverlässigkeit ausgeschlossen werden, die wegen eines Verstoßes nach § 21 </w:t>
      </w:r>
      <w:proofErr w:type="spellStart"/>
      <w:r>
        <w:rPr>
          <w:rFonts w:ascii="Arial" w:hAnsi="Arial" w:cs="Arial"/>
          <w:sz w:val="16"/>
          <w:szCs w:val="16"/>
        </w:rPr>
        <w:t>MiLoG</w:t>
      </w:r>
      <w:proofErr w:type="spellEnd"/>
      <w:r>
        <w:rPr>
          <w:rFonts w:ascii="Arial" w:hAnsi="Arial" w:cs="Arial"/>
          <w:sz w:val="16"/>
          <w:szCs w:val="16"/>
        </w:rPr>
        <w:t xml:space="preserve"> mit einer Geldbuße von wenigstens zweitausendfünfhundert Euro belegt worden sind.</w:t>
      </w:r>
    </w:p>
    <w:p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ab/>
      <w:t>Formular 522 EU</w:t>
    </w:r>
  </w:p>
  <w:p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</w:pPr>
    <w:r>
      <w:tab/>
      <w:t>Eigenerklärung Mindestlohngesetz</w:t>
    </w:r>
  </w:p>
  <w:p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568"/>
      <w:jc w:val="right"/>
    </w:pPr>
    <w:r>
      <w:t>Vergabe-Nr. MH-11_1-2025-10478</w:t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A664A"/>
    <w:multiLevelType w:val="hybridMultilevel"/>
    <w:tmpl w:val="EF0413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056008"/>
    <w:multiLevelType w:val="multilevel"/>
    <w:tmpl w:val="A70AD7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A2740B"/>
    <w:multiLevelType w:val="hybridMultilevel"/>
    <w:tmpl w:val="18722CD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562BE"/>
    <w:multiLevelType w:val="multilevel"/>
    <w:tmpl w:val="9914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C57257"/>
    <w:multiLevelType w:val="hybridMultilevel"/>
    <w:tmpl w:val="971CB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7196B557-485C-495C-A378-BEF02CA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</w:pPr>
    <w:rPr>
      <w:rFonts w:ascii="Mona Lisa Recut" w:hAnsi="Mona Lisa Recut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0"/>
      </w:tabs>
      <w:spacing w:line="360" w:lineRule="auto"/>
      <w:jc w:val="right"/>
      <w:outlineLvl w:val="0"/>
    </w:pPr>
    <w:rPr>
      <w:rFonts w:ascii="Times New Roman" w:hAnsi="Times New Roman"/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rPr>
      <w:sz w:val="20"/>
    </w:rPr>
  </w:style>
  <w:style w:type="paragraph" w:styleId="Textkrper-Zeileneinzug">
    <w:name w:val="Body Text Indent"/>
    <w:basedOn w:val="Standard"/>
    <w:pPr>
      <w:tabs>
        <w:tab w:val="left" w:pos="0"/>
      </w:tabs>
      <w:spacing w:line="360" w:lineRule="auto"/>
      <w:ind w:left="720"/>
      <w:jc w:val="both"/>
    </w:pPr>
    <w:rPr>
      <w:rFonts w:ascii="Times New Roman" w:hAnsi="Times New Roman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pPr>
      <w:widowControl/>
    </w:pPr>
    <w:rPr>
      <w:rFonts w:ascii="Courier New" w:hAnsi="Courier New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pfzeileoben">
    <w:name w:val="Kopfzeile oben"/>
    <w:basedOn w:val="Kopfzeile"/>
    <w:pPr>
      <w:widowControl/>
      <w:tabs>
        <w:tab w:val="clear" w:pos="4536"/>
      </w:tabs>
    </w:pPr>
    <w:rPr>
      <w:rFonts w:ascii="Arial" w:hAnsi="Arial" w:cs="Arial"/>
      <w:sz w:val="20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berarbeitung">
    <w:name w:val="Revision"/>
    <w:hidden/>
    <w:uiPriority w:val="99"/>
    <w:semiHidden/>
    <w:rPr>
      <w:rFonts w:ascii="Mona Lisa Recut" w:hAnsi="Mona Lisa Recut"/>
      <w:sz w:val="24"/>
    </w:rPr>
  </w:style>
  <w:style w:type="character" w:styleId="Kommentarzeichen">
    <w:name w:val="annotation reference"/>
    <w:basedOn w:val="Absatz-Standardschriftart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rFonts w:ascii="Mona Lisa Recut" w:hAnsi="Mona Lisa Recut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Pr>
      <w:rFonts w:ascii="Mona Lisa Recut" w:hAnsi="Mona Lisa Recu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69BF5-3C58-4C44-BE8A-86083C14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</vt:lpstr>
    </vt:vector>
  </TitlesOfParts>
  <Company>Innenministerium NRW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</dc:title>
  <dc:creator>Schackma</dc:creator>
  <cp:lastModifiedBy>Preissner, Andre</cp:lastModifiedBy>
  <cp:revision>7</cp:revision>
  <cp:lastPrinted>2025-06-11T07:39:00Z</cp:lastPrinted>
  <dcterms:created xsi:type="dcterms:W3CDTF">2025-06-04T13:57:00Z</dcterms:created>
  <dcterms:modified xsi:type="dcterms:W3CDTF">2025-06-23T14:01:00Z</dcterms:modified>
</cp:coreProperties>
</file>