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 Offenes Verfahren gemäß EU VOB/A</w:t>
      </w:r>
    </w:p>
    <w:p>
      <w:pPr>
        <w:spacing w:line="240" w:lineRule="auto"/>
        <w:jc w:val="center"/>
      </w:pPr>
    </w:p>
    <w:p>
      <w:pPr>
        <w:autoSpaceDE w:val="0"/>
        <w:autoSpaceDN w:val="0"/>
        <w:adjustRightInd w:val="0"/>
        <w:spacing w:line="276" w:lineRule="auto"/>
        <w:ind w:left="2977" w:hanging="2977"/>
      </w:pPr>
      <w:r>
        <w:t>Baumaßnahme:</w:t>
      </w:r>
      <w:r>
        <w:tab/>
      </w:r>
      <w:proofErr w:type="spellStart"/>
      <w:r>
        <w:rPr>
          <w:b/>
        </w:rPr>
        <w:t>Gym</w:t>
      </w:r>
      <w:proofErr w:type="spellEnd"/>
      <w:r>
        <w:rPr>
          <w:b/>
        </w:rPr>
        <w:t>. Otto-</w:t>
      </w:r>
      <w:proofErr w:type="spellStart"/>
      <w:r>
        <w:rPr>
          <w:b/>
        </w:rPr>
        <w:t>Pankok</w:t>
      </w:r>
      <w:proofErr w:type="spellEnd"/>
      <w:r>
        <w:rPr>
          <w:b/>
        </w:rPr>
        <w:t xml:space="preserve"> - Innentüren-Holz (HG)</w:t>
      </w:r>
    </w:p>
    <w:p>
      <w:pPr>
        <w:spacing w:line="240" w:lineRule="auto"/>
        <w:ind w:left="1701" w:hanging="1701"/>
        <w:jc w:val="left"/>
      </w:pP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0208/455-58-60-05/-42, </w:t>
      </w:r>
      <w:r>
        <w:rPr>
          <w:color w:val="333333"/>
          <w:u w:val="single"/>
        </w:rPr>
        <w:t>E-Mail</w:t>
      </w:r>
      <w:r>
        <w:rPr>
          <w:color w:val="333333"/>
        </w:rPr>
        <w:t>: vergabe@muelheim-ruhr.de</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07. Februar 2025</w:t>
            </w:r>
            <w:r>
              <w:rPr>
                <w:b/>
              </w:rPr>
              <w:t>,</w:t>
            </w:r>
            <w:r>
              <w:t xml:space="preserve"> um </w:t>
            </w:r>
            <w:r>
              <w:rPr>
                <w:b/>
                <w:u w:val="single"/>
              </w:rPr>
              <w:t>09:00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pacing w:line="240" w:lineRule="auto"/>
        <w:jc w:val="left"/>
      </w:pPr>
    </w:p>
    <w:tbl>
      <w:tblPr>
        <w:tblW w:w="7702" w:type="dxa"/>
        <w:tblInd w:w="803" w:type="dxa"/>
        <w:tblLayout w:type="fixed"/>
        <w:tblCellMar>
          <w:left w:w="57" w:type="dxa"/>
          <w:right w:w="57" w:type="dxa"/>
        </w:tblCellMar>
        <w:tblLook w:val="01E0" w:firstRow="1" w:lastRow="1" w:firstColumn="1" w:lastColumn="1" w:noHBand="0" w:noVBand="0"/>
      </w:tblPr>
      <w:tblGrid>
        <w:gridCol w:w="3450"/>
        <w:gridCol w:w="223"/>
        <w:gridCol w:w="326"/>
        <w:gridCol w:w="3703"/>
      </w:tblGrid>
      <w:tr>
        <w:trPr>
          <w:trHeight w:val="263"/>
        </w:trPr>
        <w:tc>
          <w:tcPr>
            <w:tcW w:w="3450" w:type="dxa"/>
            <w:shd w:val="clear" w:color="auto" w:fill="auto"/>
          </w:tcPr>
          <w:p>
            <w:pPr>
              <w:spacing w:line="240" w:lineRule="auto"/>
              <w:jc w:val="right"/>
            </w:pPr>
            <w:r>
              <w:t xml:space="preserve">Vorgesehener </w:t>
            </w:r>
            <w:r>
              <w:t>Ausführungsfrist</w:t>
            </w:r>
            <w:r>
              <w:t>:</w:t>
            </w:r>
          </w:p>
        </w:tc>
        <w:tc>
          <w:tcPr>
            <w:tcW w:w="4252" w:type="dxa"/>
            <w:gridSpan w:val="3"/>
            <w:shd w:val="clear" w:color="auto" w:fill="auto"/>
          </w:tcPr>
          <w:p>
            <w:pPr>
              <w:spacing w:line="240" w:lineRule="auto"/>
              <w:jc w:val="left"/>
            </w:pPr>
            <w:r>
              <w:rPr>
                <w:b/>
              </w:rPr>
              <w:t>Vorabstimmung, Werkplanung, Fertigung</w:t>
            </w:r>
            <w:r>
              <w:rPr>
                <w:b/>
              </w:rPr>
              <w:t>: 24.04.2025</w:t>
            </w:r>
            <w:r>
              <w:t xml:space="preserve">. </w:t>
            </w:r>
          </w:p>
          <w:p>
            <w:pPr>
              <w:spacing w:line="240" w:lineRule="auto"/>
              <w:jc w:val="left"/>
              <w:rPr>
                <w:b/>
              </w:rPr>
            </w:pPr>
            <w:r>
              <w:rPr>
                <w:b/>
              </w:rPr>
              <w:t>Ausführung u. Montage: ab 24.06.2025 bis 14.10.2025</w:t>
            </w:r>
            <w:r>
              <w:t xml:space="preserve"> (± 2 Wochen nach Abstimmung</w:t>
            </w:r>
            <w:r>
              <w:t xml:space="preserve"> </w:t>
            </w:r>
            <w:r>
              <w:t>mit dem AG)</w:t>
            </w:r>
          </w:p>
        </w:tc>
      </w:tr>
      <w:tr>
        <w:trPr>
          <w:trHeight w:val="122"/>
        </w:trPr>
        <w:tc>
          <w:tcPr>
            <w:tcW w:w="3450" w:type="dxa"/>
            <w:shd w:val="clear" w:color="auto" w:fill="auto"/>
          </w:tcPr>
          <w:p>
            <w:pPr>
              <w:jc w:val="right"/>
            </w:pPr>
          </w:p>
        </w:tc>
        <w:tc>
          <w:tcPr>
            <w:tcW w:w="4252" w:type="dxa"/>
            <w:gridSpan w:val="3"/>
            <w:shd w:val="clear" w:color="auto" w:fill="auto"/>
          </w:tcPr>
          <w:p>
            <w:pPr>
              <w:spacing w:line="240" w:lineRule="auto"/>
              <w:jc w:val="left"/>
              <w:rPr>
                <w:b/>
              </w:rPr>
            </w:pPr>
          </w:p>
        </w:tc>
      </w:tr>
      <w:tr>
        <w:trPr>
          <w:trHeight w:val="378"/>
        </w:trPr>
        <w:tc>
          <w:tcPr>
            <w:tcW w:w="3450" w:type="dxa"/>
            <w:tcBorders>
              <w:bottom w:val="single" w:sz="4" w:space="0" w:color="auto"/>
            </w:tcBorders>
            <w:shd w:val="clear" w:color="auto" w:fill="auto"/>
          </w:tcPr>
          <w:p>
            <w:pPr>
              <w:jc w:val="right"/>
            </w:pPr>
            <w:r>
              <w:t>Bindefrist:</w:t>
            </w:r>
          </w:p>
        </w:tc>
        <w:tc>
          <w:tcPr>
            <w:tcW w:w="4252" w:type="dxa"/>
            <w:gridSpan w:val="3"/>
            <w:tcBorders>
              <w:bottom w:val="single" w:sz="4" w:space="0" w:color="auto"/>
            </w:tcBorders>
            <w:shd w:val="clear" w:color="auto" w:fill="auto"/>
          </w:tcPr>
          <w:p>
            <w:pPr>
              <w:jc w:val="left"/>
              <w:rPr>
                <w:b/>
                <w:i/>
              </w:rPr>
            </w:pPr>
            <w:r>
              <w:rPr>
                <w:b/>
                <w:i/>
              </w:rPr>
              <w:t>07. April 2025</w:t>
            </w:r>
          </w:p>
        </w:tc>
      </w:tr>
      <w:tr>
        <w:trPr>
          <w:trHeight w:val="420"/>
        </w:trPr>
        <w:tc>
          <w:tcPr>
            <w:tcW w:w="3673" w:type="dxa"/>
            <w:gridSpan w:val="2"/>
            <w:tcBorders>
              <w:top w:val="single" w:sz="4" w:space="0" w:color="auto"/>
              <w:left w:val="single" w:sz="4" w:space="0" w:color="auto"/>
              <w:bottom w:val="single" w:sz="4" w:space="0" w:color="auto"/>
            </w:tcBorders>
            <w:shd w:val="clear" w:color="auto" w:fill="auto"/>
          </w:tcPr>
          <w:p>
            <w:pPr>
              <w:spacing w:line="240" w:lineRule="auto"/>
              <w:jc w:val="left"/>
              <w:rPr>
                <w:b/>
              </w:rPr>
            </w:pPr>
            <w:r>
              <w:rPr>
                <w:u w:val="single"/>
              </w:rPr>
              <w:t>Angebotssumme</w:t>
            </w:r>
            <w:r>
              <w:t>:</w:t>
            </w:r>
          </w:p>
        </w:tc>
        <w:tc>
          <w:tcPr>
            <w:tcW w:w="4029" w:type="dxa"/>
            <w:gridSpan w:val="2"/>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jc w:val="right"/>
              <w:rPr>
                <w:sz w:val="18"/>
                <w:szCs w:val="18"/>
              </w:rPr>
            </w:pPr>
            <w:r>
              <w:rPr>
                <w:sz w:val="18"/>
                <w:szCs w:val="18"/>
              </w:rPr>
              <w:t>€ (brutto)</w:t>
            </w:r>
          </w:p>
        </w:tc>
      </w:tr>
      <w:tr>
        <w:trPr>
          <w:trHeight w:val="252"/>
        </w:trPr>
        <w:tc>
          <w:tcPr>
            <w:tcW w:w="3999" w:type="dxa"/>
            <w:gridSpan w:val="3"/>
            <w:tcBorders>
              <w:top w:val="single" w:sz="4" w:space="0" w:color="auto"/>
              <w:bottom w:val="single" w:sz="4" w:space="0" w:color="auto"/>
            </w:tcBorders>
            <w:shd w:val="clear" w:color="auto" w:fill="auto"/>
          </w:tcPr>
          <w:p>
            <w:pPr>
              <w:spacing w:line="240" w:lineRule="auto"/>
              <w:jc w:val="right"/>
              <w:rPr>
                <w:u w:val="single"/>
              </w:rPr>
            </w:pPr>
          </w:p>
        </w:tc>
        <w:tc>
          <w:tcPr>
            <w:tcW w:w="3703" w:type="dxa"/>
            <w:tcBorders>
              <w:top w:val="single" w:sz="4" w:space="0" w:color="auto"/>
              <w:bottom w:val="single" w:sz="4" w:space="0" w:color="auto"/>
            </w:tcBorders>
            <w:shd w:val="clear" w:color="auto" w:fill="auto"/>
          </w:tcPr>
          <w:p>
            <w:pPr>
              <w:spacing w:line="240" w:lineRule="auto"/>
              <w:jc w:val="right"/>
              <w:rPr>
                <w:sz w:val="18"/>
                <w:szCs w:val="18"/>
              </w:rPr>
            </w:pPr>
          </w:p>
        </w:tc>
      </w:tr>
      <w:tr>
        <w:trPr>
          <w:trHeight w:val="521"/>
        </w:trPr>
        <w:tc>
          <w:tcPr>
            <w:tcW w:w="3673" w:type="dxa"/>
            <w:gridSpan w:val="2"/>
            <w:tcBorders>
              <w:top w:val="single" w:sz="4" w:space="0" w:color="auto"/>
              <w:left w:val="single" w:sz="4" w:space="0" w:color="auto"/>
              <w:bottom w:val="single" w:sz="4" w:space="0" w:color="auto"/>
            </w:tcBorders>
            <w:shd w:val="clear" w:color="auto" w:fill="auto"/>
          </w:tcPr>
          <w:p>
            <w:pPr>
              <w:spacing w:line="240" w:lineRule="auto"/>
              <w:jc w:val="left"/>
            </w:pPr>
            <w:r>
              <w:rPr>
                <w:u w:val="single"/>
              </w:rPr>
              <w:t>Nachlass ohne Bedingungen</w:t>
            </w:r>
            <w:r>
              <w:t>:</w:t>
            </w:r>
          </w:p>
          <w:p>
            <w:pPr>
              <w:spacing w:line="240" w:lineRule="auto"/>
              <w:jc w:val="left"/>
              <w:rPr>
                <w:b/>
              </w:rPr>
            </w:pPr>
            <w:r>
              <w:t>(gilt auch für Nachträge)</w:t>
            </w:r>
          </w:p>
        </w:tc>
        <w:tc>
          <w:tcPr>
            <w:tcW w:w="4029" w:type="dxa"/>
            <w:gridSpan w:val="2"/>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pPr>
          </w:p>
        </w:tc>
      </w:tr>
    </w:tbl>
    <w:p>
      <w:pPr>
        <w:spacing w:line="240" w:lineRule="auto"/>
        <w:ind w:left="709" w:hanging="709"/>
        <w:jc w:val="left"/>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pPr>
    </w:p>
    <w:p>
      <w:pPr>
        <w:suppressAutoHyphens/>
        <w:spacing w:line="240" w:lineRule="auto"/>
        <w:rPr>
          <w:b/>
          <w:i/>
          <w:color w:val="FF0000"/>
          <w:sz w:val="24"/>
          <w:szCs w:val="24"/>
        </w:rPr>
      </w:pPr>
      <w:r>
        <w:rPr>
          <w:b/>
          <w:i/>
          <w:color w:val="FF0000"/>
          <w:sz w:val="24"/>
          <w:szCs w:val="24"/>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40" w:lineRule="auto"/>
        <w:jc w:val="left"/>
      </w:pPr>
    </w:p>
    <w:p>
      <w:pPr>
        <w:spacing w:line="240" w:lineRule="auto"/>
        <w:ind w:left="709" w:hanging="709"/>
        <w:jc w:val="left"/>
      </w:pPr>
      <w:r>
        <w:rPr>
          <w:u w:val="single"/>
        </w:rPr>
        <w:t>Rechtsaufsicht (vormals Vergabeprüfstelle):</w:t>
      </w:r>
    </w:p>
    <w:p>
      <w:pPr>
        <w:spacing w:line="240" w:lineRule="auto"/>
        <w:jc w:val="left"/>
      </w:pPr>
      <w:r>
        <w:t>Vergabekammer Rheinland · c/o Bezirksregierung Köln· Zeughausstraße 2-10 ·50667 Köln,</w:t>
      </w:r>
    </w:p>
    <w:p>
      <w:pPr>
        <w:spacing w:line="240" w:lineRule="auto"/>
        <w:jc w:val="left"/>
      </w:pPr>
      <w:r>
        <w:t>Fax:  +49 221-147 2889</w:t>
      </w:r>
      <w:bookmarkStart w:id="0" w:name="_GoBack"/>
      <w:bookmarkEnd w:id="0"/>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7E7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6206F-DA49-4D30-82D9-FDB43022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06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Words>
  <Characters>1905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Kerger, Linda</dc:creator>
  <cp:lastModifiedBy>Kerger, Linda</cp:lastModifiedBy>
  <cp:revision>3</cp:revision>
  <dcterms:created xsi:type="dcterms:W3CDTF">2024-12-12T14:02:00Z</dcterms:created>
  <dcterms:modified xsi:type="dcterms:W3CDTF">2024-12-20T11:53:00Z</dcterms:modified>
</cp:coreProperties>
</file>